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701" w:type="dxa"/>
        <w:tblInd w:w="9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shd w:val="clear" w:color="auto" w:fill="auto"/>
        <w:tblLayout w:type="autofit"/>
        <w:tblCellMar>
          <w:top w:w="0" w:type="dxa"/>
          <w:left w:w="108" w:type="dxa"/>
          <w:bottom w:w="0" w:type="dxa"/>
          <w:right w:w="108" w:type="dxa"/>
        </w:tblCellMar>
      </w:tblPr>
      <w:tblGrid>
        <w:gridCol w:w="706"/>
        <w:gridCol w:w="2625"/>
        <w:gridCol w:w="8370"/>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shd w:val="clear" w:color="auto" w:fill="auto"/>
          <w:tblCellMar>
            <w:top w:w="0" w:type="dxa"/>
            <w:left w:w="108" w:type="dxa"/>
            <w:bottom w:w="0" w:type="dxa"/>
            <w:right w:w="108" w:type="dxa"/>
          </w:tblCellMar>
        </w:tblPrEx>
        <w:trPr>
          <w:trHeight w:val="405" w:hRule="atLeast"/>
        </w:trPr>
        <w:tc>
          <w:tcPr>
            <w:tcW w:w="11701"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方正小标宋简体" w:hAnsi="方正小标宋简体" w:eastAsia="方正小标宋简体"/>
                <w:sz w:val="44"/>
                <w:szCs w:val="44"/>
                <w:lang w:val="en-US" w:eastAsia="zh-CN"/>
              </w:rPr>
              <w:t>海南省火灾隐患曝光名单（第七批）</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405" w:hRule="atLeast"/>
        </w:trPr>
        <w:tc>
          <w:tcPr>
            <w:tcW w:w="70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b/>
                <w:bCs/>
                <w:i w:val="0"/>
                <w:iCs w:val="0"/>
                <w:color w:val="000000"/>
                <w:kern w:val="0"/>
                <w:sz w:val="24"/>
                <w:szCs w:val="24"/>
                <w:u w:val="none"/>
                <w:lang w:val="en-US" w:eastAsia="zh-CN" w:bidi="ar-SA"/>
              </w:rPr>
            </w:pPr>
            <w:r>
              <w:rPr>
                <w:rFonts w:hint="eastAsia" w:ascii="黑体" w:hAnsi="黑体" w:eastAsia="黑体" w:cs="黑体"/>
                <w:b/>
                <w:bCs/>
                <w:i w:val="0"/>
                <w:iCs w:val="0"/>
                <w:color w:val="auto"/>
                <w:kern w:val="0"/>
                <w:sz w:val="40"/>
                <w:szCs w:val="40"/>
                <w:u w:val="none"/>
                <w:lang w:val="en-US" w:eastAsia="zh-CN"/>
              </w:rPr>
              <w:t>地区</w:t>
            </w:r>
          </w:p>
        </w:tc>
        <w:tc>
          <w:tcPr>
            <w:tcW w:w="2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b/>
                <w:bCs/>
                <w:i w:val="0"/>
                <w:iCs w:val="0"/>
                <w:color w:val="000000"/>
                <w:kern w:val="0"/>
                <w:sz w:val="24"/>
                <w:szCs w:val="24"/>
                <w:u w:val="none"/>
                <w:lang w:val="en-US" w:eastAsia="zh-CN" w:bidi="ar-SA"/>
              </w:rPr>
            </w:pPr>
            <w:r>
              <w:rPr>
                <w:rFonts w:hint="eastAsia" w:ascii="黑体" w:hAnsi="黑体" w:eastAsia="黑体" w:cs="黑体"/>
                <w:b/>
                <w:bCs/>
                <w:i w:val="0"/>
                <w:iCs w:val="0"/>
                <w:color w:val="auto"/>
                <w:kern w:val="0"/>
                <w:sz w:val="40"/>
                <w:szCs w:val="40"/>
                <w:u w:val="none"/>
                <w:lang w:val="en-US" w:eastAsia="zh-CN"/>
              </w:rPr>
              <w:t>被处罚的单位/个人</w:t>
            </w:r>
          </w:p>
        </w:tc>
        <w:tc>
          <w:tcPr>
            <w:tcW w:w="83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b/>
                <w:bCs/>
                <w:i w:val="0"/>
                <w:iCs w:val="0"/>
                <w:color w:val="000000"/>
                <w:kern w:val="0"/>
                <w:sz w:val="24"/>
                <w:szCs w:val="24"/>
                <w:u w:val="none"/>
                <w:lang w:val="en-US" w:eastAsia="zh-CN" w:bidi="ar-SA"/>
              </w:rPr>
            </w:pPr>
            <w:r>
              <w:rPr>
                <w:rFonts w:hint="eastAsia" w:ascii="黑体" w:hAnsi="黑体" w:eastAsia="黑体" w:cs="黑体"/>
                <w:b/>
                <w:bCs/>
                <w:i w:val="0"/>
                <w:iCs w:val="0"/>
                <w:color w:val="auto"/>
                <w:kern w:val="0"/>
                <w:sz w:val="40"/>
                <w:szCs w:val="40"/>
                <w:u w:val="none"/>
                <w:lang w:val="en-US" w:eastAsia="zh-CN"/>
              </w:rPr>
              <w:t>存在的主要火灾隐患或消防违法行为</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160" w:hRule="atLeast"/>
        </w:trPr>
        <w:tc>
          <w:tcPr>
            <w:tcW w:w="706" w:type="dxa"/>
            <w:vMerge w:val="restart"/>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海口</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海南睿鑫酒店管理服务有限公司（SKR电竞酒店）</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地下一层，地上第二、三和四层安全出口数量不足，不具备安全疏散条件。</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215" w:hRule="atLeast"/>
        </w:trPr>
        <w:tc>
          <w:tcPr>
            <w:tcW w:w="706" w:type="dxa"/>
            <w:vMerge w:val="continue"/>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海南晟汇物业服务有限公司（海口滨江海岸小区二期）</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地下车库电动自行车停放区域未与疏散楼梯间区域实施防火分隔。</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810" w:hRule="atLeast"/>
        </w:trPr>
        <w:tc>
          <w:tcPr>
            <w:tcW w:w="706" w:type="dxa"/>
            <w:vMerge w:val="continue"/>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江畔人家（海南嘉元物业服务有限公司）</w:t>
            </w:r>
          </w:p>
        </w:tc>
        <w:tc>
          <w:tcPr>
            <w:tcW w:w="8370" w:type="dxa"/>
            <w:tcBorders>
              <w:tl2br w:val="nil"/>
              <w:tr2bl w:val="nil"/>
            </w:tcBorders>
            <w:shd w:val="clear" w:color="auto" w:fill="auto"/>
            <w:vAlign w:val="center"/>
          </w:tcPr>
          <w:p>
            <w:pPr>
              <w:jc w:val="left"/>
              <w:rPr>
                <w:rFonts w:hint="default"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架空层电动自行车停放充电场所未与公共通道、楼梯间、安全出口等其他部分进行防火分隔。</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215" w:hRule="atLeast"/>
        </w:trPr>
        <w:tc>
          <w:tcPr>
            <w:tcW w:w="706" w:type="dxa"/>
            <w:vMerge w:val="continue"/>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海口海岛香格里物业管理有限公司（天地凤凰城）</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电动自行车停放充电场所设置在建筑物架空层，且未与公共门厅部位进行防火分隔。</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810" w:hRule="atLeast"/>
        </w:trPr>
        <w:tc>
          <w:tcPr>
            <w:tcW w:w="706" w:type="dxa"/>
            <w:vMerge w:val="restart"/>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三亚</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三亚吉阳七仙潮汕酒店</w:t>
            </w:r>
          </w:p>
        </w:tc>
        <w:tc>
          <w:tcPr>
            <w:tcW w:w="8370" w:type="dxa"/>
            <w:tcBorders>
              <w:tl2br w:val="nil"/>
              <w:tr2bl w:val="nil"/>
            </w:tcBorders>
            <w:shd w:val="clear" w:color="auto" w:fill="auto"/>
            <w:vAlign w:val="center"/>
          </w:tcPr>
          <w:p>
            <w:pPr>
              <w:numPr>
                <w:ilvl w:val="0"/>
                <w:numId w:val="1"/>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地上第一层东侧、第二层室内消火栓消防软管卷盘未保持完好有效；</w:t>
            </w:r>
          </w:p>
          <w:p>
            <w:pPr>
              <w:numPr>
                <w:ilvl w:val="0"/>
                <w:numId w:val="1"/>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客房未设置疏散示意图；客房未配备过滤式消防自救呼吸器；</w:t>
            </w:r>
          </w:p>
          <w:p>
            <w:pPr>
              <w:numPr>
                <w:ilvl w:val="0"/>
                <w:numId w:val="1"/>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未开展员工消防安全培训和消防演练；</w:t>
            </w:r>
          </w:p>
          <w:p>
            <w:pPr>
              <w:numPr>
                <w:ilvl w:val="0"/>
                <w:numId w:val="1"/>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地上第五层强弱电井横向穿越墙体、竖向穿越楼板处封堵不到位。</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062" w:hRule="atLeast"/>
        </w:trPr>
        <w:tc>
          <w:tcPr>
            <w:tcW w:w="706" w:type="dxa"/>
            <w:vMerge w:val="continue"/>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三亚运成实业有限公司</w:t>
            </w:r>
          </w:p>
        </w:tc>
        <w:tc>
          <w:tcPr>
            <w:tcW w:w="8370" w:type="dxa"/>
            <w:tcBorders>
              <w:tl2br w:val="nil"/>
              <w:tr2bl w:val="nil"/>
            </w:tcBorders>
            <w:shd w:val="clear" w:color="auto" w:fill="auto"/>
            <w:vAlign w:val="center"/>
          </w:tcPr>
          <w:p>
            <w:pPr>
              <w:numPr>
                <w:ilvl w:val="0"/>
                <w:numId w:val="2"/>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部分电气线路铺设不符合消防技术标准，未套阻燃管保护；</w:t>
            </w:r>
          </w:p>
          <w:p>
            <w:pPr>
              <w:numPr>
                <w:ilvl w:val="0"/>
                <w:numId w:val="2"/>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疏散指示标志和应急照明配置不符合国家标准要求；</w:t>
            </w:r>
          </w:p>
          <w:p>
            <w:pPr>
              <w:numPr>
                <w:ilvl w:val="0"/>
                <w:numId w:val="2"/>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未按要求设置室内消火栓系统。</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005" w:hRule="atLeast"/>
        </w:trPr>
        <w:tc>
          <w:tcPr>
            <w:tcW w:w="706" w:type="dxa"/>
            <w:vMerge w:val="continue"/>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海南建翔物业管理有限责任公司（同心家园</w:t>
            </w:r>
            <w:bookmarkStart w:id="0" w:name="_GoBack"/>
            <w:bookmarkEnd w:id="0"/>
            <w:r>
              <w:rPr>
                <w:rFonts w:hint="eastAsia" w:ascii="黑体" w:hAnsi="黑体" w:eastAsia="黑体" w:cs="黑体"/>
                <w:color w:val="000000"/>
                <w:sz w:val="40"/>
                <w:szCs w:val="40"/>
                <w:lang w:val="en-US" w:eastAsia="zh-CN"/>
              </w:rPr>
              <w:t>9期）</w:t>
            </w:r>
          </w:p>
        </w:tc>
        <w:tc>
          <w:tcPr>
            <w:tcW w:w="8370" w:type="dxa"/>
            <w:tcBorders>
              <w:tl2br w:val="nil"/>
              <w:tr2bl w:val="nil"/>
            </w:tcBorders>
            <w:shd w:val="clear" w:color="auto" w:fill="auto"/>
            <w:vAlign w:val="center"/>
          </w:tcPr>
          <w:p>
            <w:pPr>
              <w:jc w:val="left"/>
              <w:rPr>
                <w:rFonts w:hint="default"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楼栋架空层设置的电动自行车停放充电场所与其他部位未进行防火分隔。</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shd w:val="clear" w:color="auto" w:fill="auto"/>
          <w:tblCellMar>
            <w:top w:w="0" w:type="dxa"/>
            <w:left w:w="108" w:type="dxa"/>
            <w:bottom w:w="0" w:type="dxa"/>
            <w:right w:w="108" w:type="dxa"/>
          </w:tblCellMar>
        </w:tblPrEx>
        <w:trPr>
          <w:trHeight w:val="500" w:hRule="atLeast"/>
        </w:trPr>
        <w:tc>
          <w:tcPr>
            <w:tcW w:w="706" w:type="dxa"/>
            <w:vMerge w:val="continue"/>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三亚市崖州区智谷物流园有限公司</w:t>
            </w:r>
          </w:p>
        </w:tc>
        <w:tc>
          <w:tcPr>
            <w:tcW w:w="8370" w:type="dxa"/>
            <w:tcBorders>
              <w:tl2br w:val="nil"/>
              <w:tr2bl w:val="nil"/>
            </w:tcBorders>
            <w:shd w:val="clear" w:color="auto" w:fill="auto"/>
            <w:vAlign w:val="center"/>
          </w:tcPr>
          <w:p>
            <w:pPr>
              <w:numPr>
                <w:ilvl w:val="0"/>
                <w:numId w:val="3"/>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场所未按规范要求设置室外消火栓、室内消火栓、火灾自动报警系统、应急照明和疏散指示标志；</w:t>
            </w:r>
          </w:p>
          <w:p>
            <w:pPr>
              <w:numPr>
                <w:ilvl w:val="0"/>
                <w:numId w:val="3"/>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场所未落实消防安全责任制、未制定本单位的消防安全制度和灭火应急疏散预案、未组织防火检查和有针对性的消防演练；</w:t>
            </w:r>
          </w:p>
          <w:p>
            <w:pPr>
              <w:numPr>
                <w:ilvl w:val="0"/>
                <w:numId w:val="3"/>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一号厂房与办公室和休息区的防火间距小于规范要求的最小防火间距；</w:t>
            </w:r>
          </w:p>
          <w:p>
            <w:pPr>
              <w:numPr>
                <w:ilvl w:val="0"/>
                <w:numId w:val="3"/>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一、二号厂房内部防火分区面积大于《建筑设计防火规范》规定的每个防火分区的最大允许建筑面积；</w:t>
            </w:r>
          </w:p>
          <w:p>
            <w:pPr>
              <w:numPr>
                <w:ilvl w:val="0"/>
                <w:numId w:val="3"/>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一、二号厂房未沿建筑的两条长边设置消防车道，且作为物流建筑耐火等级未按规范要求达到二级；</w:t>
            </w:r>
          </w:p>
          <w:p>
            <w:pPr>
              <w:numPr>
                <w:ilvl w:val="0"/>
                <w:numId w:val="3"/>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厂房内部物流作业区域与辅助办公区域之间未采用耐火极限不低于3.00h的防火隔墙和耐火极限不低于2.00h的楼板分隔；</w:t>
            </w:r>
          </w:p>
          <w:p>
            <w:pPr>
              <w:numPr>
                <w:ilvl w:val="0"/>
                <w:numId w:val="3"/>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厂房内部芒果包装区、车检所、物流作业区未按要求进行防火分隔。</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215"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儋州</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儋州爱尔新希望眼科医院有限公司</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1、医院屋顶稳压泵电接点压力表未保持完好有效；</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2、医院第三层防火门闭门器、顺序器未保持完好有效；</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3、医院第五层挡烟垂壁未保持完好有效。</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136"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琼海</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琼海万泉天发槟榔加工厂</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1、未设置室内消火栓系统；</w:t>
            </w:r>
          </w:p>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2、未设置应急照明灯；</w:t>
            </w:r>
          </w:p>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3、未定期开展防火巡查、检查。</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870"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文昌</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文昌重兴加华超市</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1、部分灭火器压力不足；</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2、经营区域与住宅区域未进行有效防火分隔。</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215"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东方</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海南汇裕农生态农业有限责任公司</w:t>
            </w:r>
          </w:p>
        </w:tc>
        <w:tc>
          <w:tcPr>
            <w:tcW w:w="8370" w:type="dxa"/>
            <w:tcBorders>
              <w:tl2br w:val="nil"/>
              <w:tr2bl w:val="nil"/>
            </w:tcBorders>
            <w:shd w:val="clear" w:color="auto" w:fill="auto"/>
            <w:vAlign w:val="center"/>
          </w:tcPr>
          <w:p>
            <w:pPr>
              <w:jc w:val="left"/>
              <w:rPr>
                <w:rFonts w:hint="default"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员工住宿场所违规使用聚氨酯泡沫夹芯彩钢板搭建。</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627"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洋浦</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洋浦干冲麒麟旅店</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1、消防应急照明、疏散指示标志未保持完好有效；</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2、沿街面外墙窗上设置影响逃生、灭火救援的防盗网，且未开设逃生窗；</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3、电气线路敷设未穿管保护，不符合标准规定。</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627"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五指山</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昌松之家（五指山）旅居服务有限公司</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1、该场所未按国家工程建设消防技术标准的规定设置自动喷水灭火系统；</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2、该场所未按国家工程建设消防技术标准的规定设置火灾自动报警系统；</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3、该场所地下室气体灭火系统控制柜显示多处故障点，控制柜未保持完好有效；</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4、该场所电气线路和各类管道穿过楼板处的空隙未采取防火封堵措施。</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2430"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万宁</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万宁兴隆吉康医院</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1、该场所第二、五层窗口设置影响逃生、灭火救援的防盗网；</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2、该场所走道、楼梯口疏散指示标志类型不符合标准；</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3、该场所第二、四、五层常闭防火门闭门器损坏；</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4、该场所第五层室内消火栓生锈无法打开；</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5、该场所消火栓泵损坏。</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2835"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定安</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海南定安鸿鑫物业服务有限公司（御景鸿世纪雅居）</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1、A栋、B栋、D栋（均为高层建筑）疏散指示标志、应急照明灯、灭火器损坏率大于30%；</w:t>
            </w:r>
          </w:p>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2、室内消火栓系统管网无水、屋顶稳压泵故障；</w:t>
            </w:r>
          </w:p>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3、火灾报警控制器损坏；</w:t>
            </w:r>
          </w:p>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4、发电机房气体灭火系统控制器损坏；</w:t>
            </w:r>
          </w:p>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5、经测试，消防联动控制器的手动控制盘未能直接开启喷淋泵；</w:t>
            </w:r>
          </w:p>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6、消防控制室操作人员未按规定要求持证上岗。</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2835"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屯昌</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屯昌屯城光业酒店</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1、封闭楼梯间设置管道井、电缆井，且管道井、电缆井竖向及横向穿越楼板或墙体处未按要求进行防火封堵；</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2、一至三层楼梯间形式设置不符合规范要求；</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3、封闭楼梯间不满足自然通风条件且未设置机械加压送风系统；</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4、场所南侧疏散楼梯间楼梯净宽度不符合规范要求；</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5、场所违规设置影响疏散逃生和灭火救援的防盗网；</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6、室内消火栓系统未保持完好有效。</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810"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澄迈</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澄迈和风物业管理有限公司</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1、水泵房未设置应急照明灯；</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2、A1栋通往负一层楼梯间应急照明灯损坏；A1 栋防火门未设置闭门器；A1栋常闭防火门未保持常闭状态；A1栋管道井竖向穿越楼板处未按要求进行防火封堵；</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3、B栋一层疏散指示标志损坏；火灾自动报警系统被部分停用（1个火灾报警控制器被停用）；B栋防火门未设置闭门器；B栋常闭防火门未保持常闭状态；B栋门口电线未进行套管保护；</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4、室外消火栓压力不足；屋顶稳压设施故障；配电室气体灭火系统故障；地下室配电房防火分隔封堵不完全；</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5、该单位无灭火和应急疏散预案；无员工消防安全培训记录和消防演练记录。</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401"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临高</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临高临城文澜楼酒店</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1、违规设置影响逃生、灭火救援的防盗网；</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2、未按标准设置疏散指示标识；</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3、未按标准设置封闭楼梯间。</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3185"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白沙</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白沙牙叉天艺商务酒店</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1、该酒店二层厨房与其他区域未做防火分隔；</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2、该酒店电缆井竖向穿越楼板处未进行防火封堵；</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3、该酒店五层走道部分应急照明灯未保持完好有效。</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810"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昌江</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昌江佳捷酒店管理有限公司</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1、6层楼梯间防火门无法正常启闭；</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2、一楼的厨房未设置防火门与其他区域分隔；</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3、燃具连接软管长度超2米，并且软管穿越墙体；</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4、可燃气体探测器设置位置错误。</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810"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乐东</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李慧莹棉被作坊</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1、生产加工场所、储存场所、居住场所未进行防火分隔；</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2、未设置室内消火栓系统；</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3、疏散走道、安全出口处未设置应急照明灯和疏散指示标识；</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4、灭火器配备不足。</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405"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陵水</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陵水威丽斯影业有限公司</w:t>
            </w:r>
          </w:p>
        </w:tc>
        <w:tc>
          <w:tcPr>
            <w:tcW w:w="8370" w:type="dxa"/>
            <w:tcBorders>
              <w:tl2br w:val="nil"/>
              <w:tr2bl w:val="nil"/>
            </w:tcBorders>
            <w:shd w:val="clear" w:color="auto" w:fill="auto"/>
            <w:vAlign w:val="center"/>
          </w:tcPr>
          <w:p>
            <w:p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1、火灾自动报警控制器下方堆放杂物，影响主机操作；</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2、仓库未设置防火门；</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3、仓库内设置员工宿舍；</w:t>
            </w:r>
            <w:r>
              <w:rPr>
                <w:rFonts w:hint="eastAsia" w:ascii="黑体" w:hAnsi="黑体" w:eastAsia="黑体" w:cs="黑体"/>
                <w:color w:val="000000"/>
                <w:sz w:val="40"/>
                <w:szCs w:val="40"/>
                <w:lang w:val="en-US" w:eastAsia="zh-CN"/>
              </w:rPr>
              <w:br w:type="textWrapping"/>
            </w:r>
            <w:r>
              <w:rPr>
                <w:rFonts w:hint="eastAsia" w:ascii="黑体" w:hAnsi="黑体" w:eastAsia="黑体" w:cs="黑体"/>
                <w:color w:val="000000"/>
                <w:sz w:val="40"/>
                <w:szCs w:val="40"/>
                <w:lang w:val="en-US" w:eastAsia="zh-CN"/>
              </w:rPr>
              <w:t>4、地上第二层堆放杂物占用疏散通道。</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046"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保亭</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保亭保城怡和园茶餐厅</w:t>
            </w:r>
          </w:p>
        </w:tc>
        <w:tc>
          <w:tcPr>
            <w:tcW w:w="8370" w:type="dxa"/>
            <w:tcBorders>
              <w:tl2br w:val="nil"/>
              <w:tr2bl w:val="nil"/>
            </w:tcBorders>
            <w:shd w:val="clear" w:color="auto" w:fill="auto"/>
            <w:vAlign w:val="center"/>
          </w:tcPr>
          <w:p>
            <w:pPr>
              <w:numPr>
                <w:ilvl w:val="0"/>
                <w:numId w:val="4"/>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安全出口指示标志损坏；</w:t>
            </w:r>
          </w:p>
          <w:p>
            <w:pPr>
              <w:numPr>
                <w:ilvl w:val="0"/>
                <w:numId w:val="4"/>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部分电气线路未进行穿管保护；</w:t>
            </w:r>
          </w:p>
          <w:p>
            <w:pPr>
              <w:numPr>
                <w:ilvl w:val="0"/>
                <w:numId w:val="4"/>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可燃气体探测器损坏。</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108" w:type="dxa"/>
            <w:bottom w:w="0" w:type="dxa"/>
            <w:right w:w="108" w:type="dxa"/>
          </w:tblCellMar>
        </w:tblPrEx>
        <w:trPr>
          <w:trHeight w:val="1522" w:hRule="atLeast"/>
        </w:trPr>
        <w:tc>
          <w:tcPr>
            <w:tcW w:w="706" w:type="dxa"/>
            <w:tcBorders>
              <w:tl2br w:val="nil"/>
              <w:tr2bl w:val="nil"/>
            </w:tcBorders>
            <w:shd w:val="clear" w:color="auto" w:fill="auto"/>
            <w:vAlign w:val="center"/>
          </w:tcPr>
          <w:p>
            <w:pPr>
              <w:spacing w:beforeLines="0" w:afterLines="0"/>
              <w:jc w:val="center"/>
              <w:rPr>
                <w:rFonts w:hint="eastAsia" w:ascii="黑体" w:hAnsi="黑体" w:eastAsia="黑体" w:cs="黑体"/>
                <w:b/>
                <w:bCs/>
                <w:i w:val="0"/>
                <w:iCs w:val="0"/>
                <w:color w:val="auto"/>
                <w:kern w:val="0"/>
                <w:sz w:val="40"/>
                <w:szCs w:val="40"/>
                <w:u w:val="none"/>
                <w:lang w:val="en-US" w:eastAsia="zh-CN"/>
              </w:rPr>
            </w:pPr>
            <w:r>
              <w:rPr>
                <w:rFonts w:hint="eastAsia" w:ascii="黑体" w:hAnsi="黑体" w:eastAsia="黑体" w:cs="黑体"/>
                <w:b/>
                <w:bCs/>
                <w:i w:val="0"/>
                <w:iCs w:val="0"/>
                <w:color w:val="auto"/>
                <w:kern w:val="0"/>
                <w:sz w:val="40"/>
                <w:szCs w:val="40"/>
                <w:u w:val="none"/>
                <w:lang w:val="en-US" w:eastAsia="zh-CN"/>
              </w:rPr>
              <w:t>琼中</w:t>
            </w:r>
          </w:p>
        </w:tc>
        <w:tc>
          <w:tcPr>
            <w:tcW w:w="2625" w:type="dxa"/>
            <w:tcBorders>
              <w:tl2br w:val="nil"/>
              <w:tr2bl w:val="nil"/>
            </w:tcBorders>
            <w:shd w:val="clear" w:color="auto" w:fill="auto"/>
            <w:vAlign w:val="center"/>
          </w:tcPr>
          <w:p>
            <w:pPr>
              <w:jc w:val="center"/>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琼中营根永和酒店</w:t>
            </w:r>
          </w:p>
        </w:tc>
        <w:tc>
          <w:tcPr>
            <w:tcW w:w="8370" w:type="dxa"/>
            <w:tcBorders>
              <w:tl2br w:val="nil"/>
              <w:tr2bl w:val="nil"/>
            </w:tcBorders>
            <w:shd w:val="clear" w:color="auto" w:fill="auto"/>
            <w:vAlign w:val="center"/>
          </w:tcPr>
          <w:p>
            <w:pPr>
              <w:numPr>
                <w:ilvl w:val="0"/>
                <w:numId w:val="5"/>
              </w:numPr>
              <w:jc w:val="left"/>
              <w:rPr>
                <w:rFonts w:hint="eastAsia"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地上一层疏散指示标志和应急照明灯未保持完好有效；</w:t>
            </w:r>
          </w:p>
          <w:p>
            <w:pPr>
              <w:numPr>
                <w:ilvl w:val="0"/>
                <w:numId w:val="5"/>
              </w:numPr>
              <w:jc w:val="left"/>
              <w:rPr>
                <w:rFonts w:hint="default" w:ascii="黑体" w:hAnsi="黑体" w:eastAsia="黑体" w:cs="黑体"/>
                <w:color w:val="000000"/>
                <w:sz w:val="40"/>
                <w:szCs w:val="40"/>
                <w:lang w:val="en-US" w:eastAsia="zh-CN"/>
              </w:rPr>
            </w:pPr>
            <w:r>
              <w:rPr>
                <w:rFonts w:hint="eastAsia" w:ascii="黑体" w:hAnsi="黑体" w:eastAsia="黑体" w:cs="黑体"/>
                <w:color w:val="000000"/>
                <w:sz w:val="40"/>
                <w:szCs w:val="40"/>
                <w:lang w:val="en-US" w:eastAsia="zh-CN"/>
              </w:rPr>
              <w:t>地上二、三层疏散楼梯堆放杂物堵塞通道。</w:t>
            </w:r>
          </w:p>
        </w:tc>
      </w:tr>
    </w:tbl>
    <w:p>
      <w:pPr>
        <w:rPr>
          <w:rFonts w:hint="eastAsia" w:ascii="宋体" w:hAnsi="宋体" w:eastAsia="宋体" w:cs="宋体"/>
          <w:sz w:val="24"/>
          <w:szCs w:val="24"/>
        </w:rPr>
      </w:pPr>
    </w:p>
    <w:sectPr>
      <w:pgSz w:w="12240" w:h="15840"/>
      <w:pgMar w:top="720" w:right="283" w:bottom="720" w:left="283" w:header="720" w:footer="7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63AA4D-671F-424F-AD0E-D0D47FAD43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C4EF727-481E-4D5B-B9EE-B90A908BED6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5A6D9"/>
    <w:multiLevelType w:val="singleLevel"/>
    <w:tmpl w:val="BCD5A6D9"/>
    <w:lvl w:ilvl="0" w:tentative="0">
      <w:start w:val="1"/>
      <w:numFmt w:val="decimal"/>
      <w:suff w:val="nothing"/>
      <w:lvlText w:val="%1、"/>
      <w:lvlJc w:val="left"/>
    </w:lvl>
  </w:abstractNum>
  <w:abstractNum w:abstractNumId="1">
    <w:nsid w:val="EC7FD7EF"/>
    <w:multiLevelType w:val="singleLevel"/>
    <w:tmpl w:val="EC7FD7EF"/>
    <w:lvl w:ilvl="0" w:tentative="0">
      <w:start w:val="1"/>
      <w:numFmt w:val="decimal"/>
      <w:suff w:val="nothing"/>
      <w:lvlText w:val="%1、"/>
      <w:lvlJc w:val="left"/>
    </w:lvl>
  </w:abstractNum>
  <w:abstractNum w:abstractNumId="2">
    <w:nsid w:val="ED21F817"/>
    <w:multiLevelType w:val="singleLevel"/>
    <w:tmpl w:val="ED21F817"/>
    <w:lvl w:ilvl="0" w:tentative="0">
      <w:start w:val="1"/>
      <w:numFmt w:val="decimal"/>
      <w:suff w:val="nothing"/>
      <w:lvlText w:val="%1、"/>
      <w:lvlJc w:val="left"/>
    </w:lvl>
  </w:abstractNum>
  <w:abstractNum w:abstractNumId="3">
    <w:nsid w:val="FD9ECD5A"/>
    <w:multiLevelType w:val="singleLevel"/>
    <w:tmpl w:val="FD9ECD5A"/>
    <w:lvl w:ilvl="0" w:tentative="0">
      <w:start w:val="1"/>
      <w:numFmt w:val="decimal"/>
      <w:suff w:val="nothing"/>
      <w:lvlText w:val="%1、"/>
      <w:lvlJc w:val="left"/>
    </w:lvl>
  </w:abstractNum>
  <w:abstractNum w:abstractNumId="4">
    <w:nsid w:val="7D85D56E"/>
    <w:multiLevelType w:val="singleLevel"/>
    <w:tmpl w:val="7D85D56E"/>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0ZjAyODFjZTk5NTU5OWNkMzA2OWFhNzViNDBlNWYifQ=="/>
  </w:docVars>
  <w:rsids>
    <w:rsidRoot w:val="00000000"/>
    <w:rsid w:val="00EA3F9D"/>
    <w:rsid w:val="01110FF4"/>
    <w:rsid w:val="02CB0818"/>
    <w:rsid w:val="02E93C7C"/>
    <w:rsid w:val="03633990"/>
    <w:rsid w:val="043D09D3"/>
    <w:rsid w:val="05656433"/>
    <w:rsid w:val="05DF3027"/>
    <w:rsid w:val="063302DF"/>
    <w:rsid w:val="0684472E"/>
    <w:rsid w:val="06C74ECC"/>
    <w:rsid w:val="075B1344"/>
    <w:rsid w:val="080D1250"/>
    <w:rsid w:val="08610DC7"/>
    <w:rsid w:val="095E38C5"/>
    <w:rsid w:val="09BF7CF7"/>
    <w:rsid w:val="0B095AB3"/>
    <w:rsid w:val="0B260413"/>
    <w:rsid w:val="0FA73EE3"/>
    <w:rsid w:val="114004CB"/>
    <w:rsid w:val="12DA3EAF"/>
    <w:rsid w:val="17286F5D"/>
    <w:rsid w:val="1AAB68D7"/>
    <w:rsid w:val="1C030C88"/>
    <w:rsid w:val="1C7D1E5D"/>
    <w:rsid w:val="1CEB39FC"/>
    <w:rsid w:val="1D7F5378"/>
    <w:rsid w:val="1DFB4A39"/>
    <w:rsid w:val="1F9E1935"/>
    <w:rsid w:val="21380A48"/>
    <w:rsid w:val="22072BD3"/>
    <w:rsid w:val="284E0B51"/>
    <w:rsid w:val="2AA45611"/>
    <w:rsid w:val="2D287BC3"/>
    <w:rsid w:val="2D9D235F"/>
    <w:rsid w:val="2E026839"/>
    <w:rsid w:val="2F5E44C6"/>
    <w:rsid w:val="339B2E55"/>
    <w:rsid w:val="33E41708"/>
    <w:rsid w:val="377063EE"/>
    <w:rsid w:val="37B24C58"/>
    <w:rsid w:val="38942757"/>
    <w:rsid w:val="38963DA2"/>
    <w:rsid w:val="38AF533E"/>
    <w:rsid w:val="3AAB598F"/>
    <w:rsid w:val="3BD80A06"/>
    <w:rsid w:val="3D350302"/>
    <w:rsid w:val="3E88042D"/>
    <w:rsid w:val="3E891BF4"/>
    <w:rsid w:val="407F4973"/>
    <w:rsid w:val="41AD64E3"/>
    <w:rsid w:val="43C0739D"/>
    <w:rsid w:val="460254AD"/>
    <w:rsid w:val="47332527"/>
    <w:rsid w:val="491237A9"/>
    <w:rsid w:val="499D1642"/>
    <w:rsid w:val="4A9B77CE"/>
    <w:rsid w:val="4B423AAB"/>
    <w:rsid w:val="4C012116"/>
    <w:rsid w:val="4CE27936"/>
    <w:rsid w:val="4E6F2261"/>
    <w:rsid w:val="51A12AE3"/>
    <w:rsid w:val="5325232B"/>
    <w:rsid w:val="542D52C9"/>
    <w:rsid w:val="543C54C2"/>
    <w:rsid w:val="549534E0"/>
    <w:rsid w:val="55726C21"/>
    <w:rsid w:val="559C6463"/>
    <w:rsid w:val="55C2007F"/>
    <w:rsid w:val="55FB4D53"/>
    <w:rsid w:val="56F02C50"/>
    <w:rsid w:val="58D00F8B"/>
    <w:rsid w:val="5A4532B2"/>
    <w:rsid w:val="5BF64864"/>
    <w:rsid w:val="5DCA7322"/>
    <w:rsid w:val="5F053010"/>
    <w:rsid w:val="5F0A1402"/>
    <w:rsid w:val="5F5D4BFA"/>
    <w:rsid w:val="61783937"/>
    <w:rsid w:val="63715554"/>
    <w:rsid w:val="64175CC0"/>
    <w:rsid w:val="651E6FE6"/>
    <w:rsid w:val="652B7762"/>
    <w:rsid w:val="65750EF0"/>
    <w:rsid w:val="65C40544"/>
    <w:rsid w:val="66794579"/>
    <w:rsid w:val="670176A2"/>
    <w:rsid w:val="6B655563"/>
    <w:rsid w:val="6D1172BE"/>
    <w:rsid w:val="6D5A0BD1"/>
    <w:rsid w:val="6D7955B3"/>
    <w:rsid w:val="6E840135"/>
    <w:rsid w:val="6F870092"/>
    <w:rsid w:val="71A1554B"/>
    <w:rsid w:val="72987FCC"/>
    <w:rsid w:val="75C80BC8"/>
    <w:rsid w:val="7B004798"/>
    <w:rsid w:val="7D072E07"/>
    <w:rsid w:val="7E236849"/>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qFormat/>
    <w:uiPriority w:val="1"/>
  </w:style>
  <w:style w:type="table" w:default="1" w:styleId="3">
    <w:name w:val="Normal Table"/>
    <w:autoRedefine/>
    <w:qFormat/>
    <w:uiPriority w:val="99"/>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customStyle="1" w:styleId="7">
    <w:name w:val="font61"/>
    <w:basedOn w:val="5"/>
    <w:autoRedefine/>
    <w:qFormat/>
    <w:uiPriority w:val="0"/>
    <w:rPr>
      <w:rFonts w:hint="default" w:ascii="Times New Roman" w:hAnsi="Times New Roman" w:cs="Times New Roman"/>
      <w:color w:val="000000"/>
      <w:sz w:val="28"/>
      <w:szCs w:val="28"/>
      <w:u w:val="none"/>
    </w:rPr>
  </w:style>
  <w:style w:type="character" w:customStyle="1" w:styleId="8">
    <w:name w:val="font112"/>
    <w:basedOn w:val="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3022</Words>
  <Characters>3068</Characters>
  <Paragraphs>183</Paragraphs>
  <TotalTime>5</TotalTime>
  <ScaleCrop>false</ScaleCrop>
  <LinksUpToDate>false</LinksUpToDate>
  <CharactersWithSpaces>3112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2024-03-08T09:55:00Z</dcterms:created>
  <dc:creator>user</dc:creator>
  <cp:lastModifiedBy>风☆缘</cp:lastModifiedBy>
  <dcterms:modified xsi:type="dcterms:W3CDTF">2024-03-31T12:02:59Z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cb8e8a4620ef4f2388f40eb7c73ce8e3_23</vt:lpwstr>
  </property>
</Properties>
</file>