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72456">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kern w:val="0"/>
          <w:sz w:val="44"/>
          <w:szCs w:val="44"/>
        </w:rPr>
      </w:pPr>
      <w:bookmarkStart w:id="0" w:name="_GoBack"/>
      <w:r>
        <w:rPr>
          <w:rFonts w:hint="eastAsia" w:ascii="方正小标宋_GBK" w:hAnsi="方正小标宋_GBK" w:eastAsia="方正小标宋_GBK" w:cs="方正小标宋_GBK"/>
          <w:kern w:val="0"/>
          <w:sz w:val="44"/>
          <w:szCs w:val="44"/>
          <w:lang w:val="en-US" w:eastAsia="zh-CN" w:bidi="ar"/>
        </w:rPr>
        <w:t>《</w:t>
      </w:r>
      <w:r>
        <w:rPr>
          <w:rFonts w:hint="eastAsia" w:ascii="方正小标宋_GBK" w:hAnsi="方正小标宋_GBK" w:eastAsia="方正小标宋_GBK"/>
          <w:color w:val="000000"/>
          <w:sz w:val="44"/>
          <w:szCs w:val="24"/>
        </w:rPr>
        <w:t>海南省</w:t>
      </w:r>
      <w:r>
        <w:rPr>
          <w:rFonts w:hint="eastAsia" w:ascii="方正小标宋_GBK" w:hAnsi="方正小标宋_GBK" w:eastAsia="方正小标宋_GBK"/>
          <w:color w:val="000000"/>
          <w:sz w:val="44"/>
          <w:szCs w:val="24"/>
          <w:lang w:eastAsia="zh-CN"/>
        </w:rPr>
        <w:t>科技创新容错免责实施</w:t>
      </w:r>
      <w:r>
        <w:rPr>
          <w:rFonts w:hint="eastAsia" w:ascii="方正小标宋_GBK" w:hAnsi="方正小标宋_GBK" w:eastAsia="方正小标宋_GBK"/>
          <w:color w:val="000000"/>
          <w:sz w:val="44"/>
          <w:szCs w:val="24"/>
        </w:rPr>
        <w:t>办法（试行）</w:t>
      </w:r>
      <w:r>
        <w:rPr>
          <w:rFonts w:hint="eastAsia" w:ascii="方正小标宋_GBK" w:hAnsi="方正小标宋_GBK" w:eastAsia="方正小标宋_GBK" w:cs="方正小标宋_GBK"/>
          <w:kern w:val="0"/>
          <w:sz w:val="44"/>
          <w:szCs w:val="44"/>
          <w:lang w:val="en-US" w:eastAsia="zh-CN" w:bidi="ar"/>
        </w:rPr>
        <w:t>》起草说明</w:t>
      </w:r>
    </w:p>
    <w:bookmarkEnd w:id="0"/>
    <w:p w14:paraId="6CE62177">
      <w:pPr>
        <w:keepNext w:val="0"/>
        <w:keepLines w:val="0"/>
        <w:widowControl w:val="0"/>
        <w:suppressLineNumbers w:val="0"/>
        <w:spacing w:before="0" w:beforeAutospacing="0" w:after="0" w:afterAutospacing="0"/>
        <w:ind w:left="0" w:right="0"/>
        <w:jc w:val="both"/>
        <w:rPr>
          <w:rFonts w:hint="eastAsia" w:ascii="Calibri" w:hAnsi="Calibri" w:eastAsia="宋体" w:cs="仿宋_GB2312"/>
          <w:kern w:val="0"/>
          <w:sz w:val="28"/>
          <w:szCs w:val="28"/>
        </w:rPr>
      </w:pPr>
      <w:r>
        <w:rPr>
          <w:rFonts w:hint="eastAsia" w:ascii="Calibri" w:hAnsi="Calibri" w:eastAsia="宋体" w:cs="仿宋_GB2312"/>
          <w:kern w:val="0"/>
          <w:sz w:val="28"/>
          <w:szCs w:val="28"/>
          <w:lang w:val="en-US" w:eastAsia="zh-CN" w:bidi="ar"/>
        </w:rPr>
        <w:t xml:space="preserve"> </w:t>
      </w:r>
    </w:p>
    <w:p w14:paraId="51DD4A07">
      <w:pPr>
        <w:keepNext w:val="0"/>
        <w:keepLines w:val="0"/>
        <w:widowControl w:val="0"/>
        <w:suppressLineNumbers w:val="0"/>
        <w:spacing w:before="0" w:beforeAutospacing="0" w:after="0" w:afterAutospacing="0"/>
        <w:ind w:left="600" w:leftChars="0" w:right="0"/>
        <w:jc w:val="both"/>
        <w:rPr>
          <w:rFonts w:hint="eastAsia" w:ascii="黑体" w:hAnsi="宋体" w:eastAsia="黑体" w:cs="黑体"/>
          <w:kern w:val="0"/>
          <w:sz w:val="32"/>
          <w:szCs w:val="32"/>
        </w:rPr>
      </w:pPr>
      <w:r>
        <w:rPr>
          <w:rFonts w:hint="eastAsia" w:ascii="黑体" w:hAnsi="宋体" w:eastAsia="黑体" w:cs="黑体"/>
          <w:kern w:val="0"/>
          <w:sz w:val="32"/>
          <w:szCs w:val="32"/>
          <w:lang w:val="en-US" w:eastAsia="zh-CN" w:bidi="ar"/>
        </w:rPr>
        <w:t>一、起草背景</w:t>
      </w:r>
    </w:p>
    <w:p w14:paraId="12E3EB9F">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24"/>
          <w:lang w:eastAsia="zh-CN"/>
        </w:rPr>
      </w:pPr>
      <w:r>
        <w:rPr>
          <w:rFonts w:hint="eastAsia" w:ascii="仿宋_GB2312" w:hAnsi="仿宋_GB2312" w:eastAsia="仿宋_GB2312" w:cs="仿宋_GB2312"/>
          <w:sz w:val="32"/>
          <w:szCs w:val="24"/>
        </w:rPr>
        <w:t>海南省科学技术厅 海南省财政厅 海南省发展和改革委员会 海南省农业农村厅 海南省工业和信息化厅 海南省海洋厅 海南省国有资产监督管理委员会</w:t>
      </w:r>
      <w:r>
        <w:rPr>
          <w:rFonts w:hint="eastAsia" w:ascii="仿宋_GB2312" w:hAnsi="仿宋_GB2312" w:eastAsia="仿宋_GB2312" w:cs="仿宋_GB2312"/>
          <w:sz w:val="32"/>
          <w:szCs w:val="24"/>
          <w:lang w:eastAsia="zh-CN"/>
        </w:rPr>
        <w:t>等七部门</w:t>
      </w:r>
      <w:r>
        <w:rPr>
          <w:rFonts w:hint="eastAsia" w:ascii="仿宋_GB2312" w:hAnsi="仿宋_GB2312" w:eastAsia="仿宋_GB2312" w:cs="仿宋_GB2312"/>
          <w:sz w:val="32"/>
          <w:szCs w:val="24"/>
          <w:lang w:val="en-US" w:eastAsia="zh-CN"/>
        </w:rPr>
        <w:t>2024年12月11日</w:t>
      </w:r>
      <w:r>
        <w:rPr>
          <w:rFonts w:hint="eastAsia" w:ascii="仿宋_GB2312" w:hAnsi="仿宋_GB2312" w:eastAsia="仿宋_GB2312" w:cs="仿宋_GB2312"/>
          <w:sz w:val="32"/>
          <w:szCs w:val="24"/>
        </w:rPr>
        <w:t>印发《进一步强化企业科技创新主体地位改革若干措施》</w:t>
      </w:r>
      <w:r>
        <w:rPr>
          <w:rFonts w:hint="eastAsia" w:ascii="仿宋_GB2312" w:hAnsi="仿宋_GB2312" w:eastAsia="仿宋_GB2312" w:cs="仿宋_GB2312"/>
          <w:sz w:val="32"/>
          <w:szCs w:val="24"/>
          <w:lang w:eastAsia="zh-CN"/>
        </w:rPr>
        <w:t>中要求“</w:t>
      </w:r>
      <w:r>
        <w:rPr>
          <w:rFonts w:hint="eastAsia" w:ascii="仿宋_GB2312" w:hAnsi="仿宋_GB2312" w:eastAsia="仿宋_GB2312" w:cs="仿宋_GB2312"/>
          <w:sz w:val="32"/>
          <w:szCs w:val="24"/>
        </w:rPr>
        <w:t>22.建立包容审慎监管机制</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23.建立支持企业创新的容错免责制度</w:t>
      </w:r>
      <w:r>
        <w:rPr>
          <w:rFonts w:hint="eastAsia" w:ascii="仿宋_GB2312" w:hAnsi="仿宋_GB2312" w:eastAsia="仿宋_GB2312" w:cs="仿宋_GB2312"/>
          <w:sz w:val="32"/>
          <w:szCs w:val="24"/>
          <w:lang w:eastAsia="zh-CN"/>
        </w:rPr>
        <w:t>”，参考其他省份已制定的科技创新方面的容错免责相关实施办法，起草本办法。</w:t>
      </w:r>
    </w:p>
    <w:p w14:paraId="5C8F0E08">
      <w:pPr>
        <w:keepNext w:val="0"/>
        <w:keepLines w:val="0"/>
        <w:widowControl w:val="0"/>
        <w:suppressLineNumbers w:val="0"/>
        <w:spacing w:before="0" w:beforeAutospacing="0" w:after="0" w:afterAutospacing="0"/>
        <w:ind w:left="600" w:leftChars="0" w:right="0"/>
        <w:jc w:val="both"/>
        <w:rPr>
          <w:rFonts w:hint="eastAsia" w:ascii="黑体" w:hAnsi="宋体" w:eastAsia="黑体" w:cs="黑体"/>
          <w:kern w:val="0"/>
          <w:sz w:val="32"/>
          <w:szCs w:val="32"/>
          <w:lang w:val="en-US" w:eastAsia="zh-CN" w:bidi="ar"/>
        </w:rPr>
      </w:pPr>
      <w:r>
        <w:rPr>
          <w:rFonts w:hint="eastAsia" w:ascii="黑体" w:hAnsi="宋体" w:eastAsia="黑体" w:cs="黑体"/>
          <w:kern w:val="0"/>
          <w:sz w:val="32"/>
          <w:szCs w:val="32"/>
          <w:lang w:val="en-US" w:eastAsia="zh-CN" w:bidi="ar"/>
        </w:rPr>
        <w:t>二、起草依据</w:t>
      </w:r>
    </w:p>
    <w:p w14:paraId="5FC1005A">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《中华人民共和国科学技术进步法》第三十五条</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国家鼓励新技术应用，按照包容审慎原则，推动开展新技术、新产品、新服务、新模式应用试验，为新技术、新产品应用创造条件</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w:t>
      </w:r>
    </w:p>
    <w:p w14:paraId="40F0A353">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《关于进一步加强科研诚信建设的若干意见》</w:t>
      </w:r>
      <w:r>
        <w:rPr>
          <w:rFonts w:hint="eastAsia" w:ascii="仿宋_GB2312" w:hAnsi="仿宋_GB2312" w:eastAsia="仿宋_GB2312" w:cs="仿宋_GB2312"/>
          <w:sz w:val="32"/>
          <w:szCs w:val="24"/>
          <w:lang w:eastAsia="zh-CN"/>
        </w:rPr>
        <w:t>“二、基本原则</w:t>
      </w:r>
      <w:r>
        <w:rPr>
          <w:rFonts w:hint="eastAsia" w:ascii="仿宋_GB2312" w:hAnsi="仿宋_GB2312" w:eastAsia="仿宋_GB2312" w:cs="仿宋_GB2312"/>
          <w:sz w:val="32"/>
          <w:szCs w:val="24"/>
        </w:rPr>
        <w:t>——激励创新，宽容失败。充分尊重科学研究灵感瞬间性、方式多样性、路径不确定性的特点，重视科研试错探索的价值，建立鼓励创新、宽容失败的容错纠错机制，形成敢为人先、勇于探索的科研氛围</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w:t>
      </w:r>
    </w:p>
    <w:p w14:paraId="4027E77C">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关于进一步弘扬科学家精神加强作风和学风建设的意见》“（十六）高等学校、科研机构领导人员和企业负责人在履行勤勉尽责义务、没有牟取非法利益前提下，免除追究其技术创新决策失误责任，对已履行勤勉尽责义务但因技术路线选择失误等导致难以完成预定目标的项目单位和科研人员予以减责或免责”。</w:t>
      </w:r>
    </w:p>
    <w:p w14:paraId="5164DB96">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海南自由贸易港科技开放创新若干规定》第十九条“对利用财政性资金或者国有资本设立的探索性强、不确定性高的科技项目，能够充分证明承担项目的单位和科技人员已经履行了勤勉尽责义务仍未能形成预期科技成果的，经立项主管部门组织专家论证后，可以允许该项目结题，不影响相关单位和个人再次申请利用财政性资金或者国有资本设立的科技项目”。</w:t>
      </w:r>
    </w:p>
    <w:p w14:paraId="1E8593AB">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sz w:val="32"/>
          <w:szCs w:val="24"/>
        </w:rPr>
        <w:t>《进一步强化企业科技创新主体地位改革若干措施》</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22.建立包容审慎监管机制</w:t>
      </w:r>
      <w:r>
        <w:rPr>
          <w:rFonts w:hint="eastAsia" w:ascii="仿宋_GB2312" w:hAnsi="仿宋_GB2312" w:eastAsia="仿宋_GB2312" w:cs="仿宋_GB2312"/>
          <w:sz w:val="32"/>
          <w:szCs w:val="24"/>
          <w:lang w:eastAsia="zh-CN"/>
        </w:rPr>
        <w:t>”；“23.建立支持企业创新的容错免责制度。</w:t>
      </w:r>
    </w:p>
    <w:p w14:paraId="217AB010">
      <w:pPr>
        <w:keepNext w:val="0"/>
        <w:keepLines w:val="0"/>
        <w:widowControl w:val="0"/>
        <w:suppressLineNumbers w:val="0"/>
        <w:spacing w:before="0" w:beforeAutospacing="0" w:after="0" w:afterAutospacing="0"/>
        <w:ind w:left="600" w:leftChars="0" w:right="0"/>
        <w:jc w:val="both"/>
        <w:rPr>
          <w:rFonts w:hint="eastAsia" w:ascii="黑体" w:hAnsi="宋体" w:eastAsia="黑体" w:cs="黑体"/>
          <w:kern w:val="0"/>
          <w:sz w:val="32"/>
          <w:szCs w:val="32"/>
        </w:rPr>
      </w:pPr>
      <w:r>
        <w:rPr>
          <w:rFonts w:hint="eastAsia" w:ascii="黑体" w:hAnsi="宋体" w:eastAsia="黑体" w:cs="黑体"/>
          <w:kern w:val="0"/>
          <w:sz w:val="32"/>
          <w:szCs w:val="32"/>
          <w:lang w:val="en-US" w:eastAsia="zh-CN" w:bidi="ar"/>
        </w:rPr>
        <w:t>三、主要内容</w:t>
      </w:r>
    </w:p>
    <w:p w14:paraId="5F7818D6">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0"/>
          <w:sz w:val="32"/>
          <w:szCs w:val="32"/>
        </w:rPr>
      </w:pPr>
      <w:r>
        <w:rPr>
          <w:rFonts w:hint="eastAsia" w:ascii="仿宋_GB2312" w:hAnsi="Calibri" w:eastAsia="仿宋_GB2312" w:cs="仿宋_GB2312"/>
          <w:kern w:val="0"/>
          <w:sz w:val="32"/>
          <w:szCs w:val="32"/>
          <w:lang w:val="en-US" w:eastAsia="zh-CN" w:bidi="ar"/>
        </w:rPr>
        <w:t>《办法》主要包括总则、适用情形、认定程序、结果运用、组织保障等五方面内容。</w:t>
      </w:r>
    </w:p>
    <w:p w14:paraId="54592B13">
      <w:pPr>
        <w:keepNext w:val="0"/>
        <w:keepLines w:val="0"/>
        <w:widowControl w:val="0"/>
        <w:suppressLineNumbers w:val="0"/>
        <w:spacing w:before="0" w:beforeAutospacing="0" w:after="0" w:afterAutospacing="0"/>
        <w:ind w:left="0" w:right="0" w:firstLine="640" w:firstLineChars="200"/>
        <w:jc w:val="both"/>
        <w:rPr>
          <w:rFonts w:hint="eastAsia" w:ascii="楷体_GB2312" w:eastAsia="楷体_GB2312" w:cs="楷体_GB2312"/>
          <w:kern w:val="0"/>
          <w:sz w:val="32"/>
          <w:szCs w:val="32"/>
        </w:rPr>
      </w:pPr>
      <w:r>
        <w:rPr>
          <w:rFonts w:hint="eastAsia" w:ascii="楷体_GB2312" w:hAnsi="Calibri" w:eastAsia="楷体_GB2312" w:cs="楷体_GB2312"/>
          <w:kern w:val="0"/>
          <w:sz w:val="32"/>
          <w:szCs w:val="32"/>
          <w:lang w:val="en-US" w:eastAsia="zh-CN" w:bidi="ar"/>
        </w:rPr>
        <w:t>（一）总则</w:t>
      </w:r>
    </w:p>
    <w:p w14:paraId="34704D33">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0"/>
          <w:sz w:val="32"/>
          <w:szCs w:val="32"/>
        </w:rPr>
      </w:pPr>
      <w:r>
        <w:rPr>
          <w:rFonts w:hint="eastAsia" w:ascii="仿宋_GB2312" w:hAnsi="Calibri" w:eastAsia="仿宋_GB2312" w:cs="仿宋_GB2312"/>
          <w:kern w:val="0"/>
          <w:sz w:val="32"/>
          <w:szCs w:val="32"/>
          <w:lang w:val="en-US" w:eastAsia="zh-CN" w:bidi="ar"/>
        </w:rPr>
        <w:t>包括起草依据、适用主体范围、基本原则等内容。</w:t>
      </w:r>
    </w:p>
    <w:p w14:paraId="085AB273">
      <w:pPr>
        <w:keepNext w:val="0"/>
        <w:keepLines w:val="0"/>
        <w:widowControl w:val="0"/>
        <w:suppressLineNumbers w:val="0"/>
        <w:spacing w:before="0" w:beforeAutospacing="0" w:after="0" w:afterAutospacing="0"/>
        <w:ind w:left="0" w:right="0" w:firstLine="640" w:firstLineChars="200"/>
        <w:jc w:val="both"/>
        <w:rPr>
          <w:rFonts w:hint="eastAsia" w:ascii="楷体_GB2312" w:eastAsia="楷体_GB2312" w:cs="楷体_GB2312"/>
          <w:kern w:val="0"/>
          <w:sz w:val="32"/>
          <w:szCs w:val="32"/>
        </w:rPr>
      </w:pPr>
      <w:r>
        <w:rPr>
          <w:rFonts w:hint="eastAsia" w:ascii="楷体_GB2312" w:hAnsi="Calibri" w:eastAsia="楷体_GB2312" w:cs="楷体_GB2312"/>
          <w:kern w:val="0"/>
          <w:sz w:val="32"/>
          <w:szCs w:val="32"/>
          <w:lang w:val="en-US" w:eastAsia="zh-CN" w:bidi="ar"/>
        </w:rPr>
        <w:t>（二）适用情形</w:t>
      </w:r>
    </w:p>
    <w:p w14:paraId="742207F5">
      <w:pPr>
        <w:keepNext w:val="0"/>
        <w:keepLines w:val="0"/>
        <w:widowControl w:val="0"/>
        <w:suppressLineNumbers w:val="0"/>
        <w:spacing w:before="0" w:beforeAutospacing="0" w:after="0" w:afterAutospacing="0"/>
        <w:ind w:left="0" w:right="0" w:firstLine="640" w:firstLineChars="200"/>
        <w:jc w:val="both"/>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列举了适用和不适用两方面的情形。对上级文件认真研究梳理并参考其他省份拟制了各类情形。</w:t>
      </w:r>
    </w:p>
    <w:p w14:paraId="535E3391">
      <w:pPr>
        <w:keepNext w:val="0"/>
        <w:keepLines w:val="0"/>
        <w:widowControl w:val="0"/>
        <w:suppressLineNumbers w:val="0"/>
        <w:spacing w:before="0" w:beforeAutospacing="0" w:after="0" w:afterAutospacing="0"/>
        <w:ind w:left="0" w:right="0" w:firstLine="640" w:firstLineChars="200"/>
        <w:jc w:val="both"/>
        <w:rPr>
          <w:rFonts w:hint="eastAsia" w:ascii="楷体_GB2312" w:hAnsi="Calibri" w:eastAsia="楷体_GB2312" w:cs="楷体_GB2312"/>
          <w:kern w:val="0"/>
          <w:sz w:val="32"/>
          <w:szCs w:val="32"/>
          <w:lang w:val="en-US" w:eastAsia="zh-CN" w:bidi="ar"/>
        </w:rPr>
      </w:pPr>
      <w:r>
        <w:rPr>
          <w:rFonts w:hint="eastAsia" w:ascii="楷体_GB2312" w:hAnsi="Calibri" w:eastAsia="楷体_GB2312" w:cs="楷体_GB2312"/>
          <w:kern w:val="0"/>
          <w:sz w:val="32"/>
          <w:szCs w:val="32"/>
          <w:lang w:val="en-US" w:eastAsia="zh-CN" w:bidi="ar"/>
        </w:rPr>
        <w:t>（三）认定程序</w:t>
      </w:r>
    </w:p>
    <w:p w14:paraId="3529ED91">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规定了常规程序和简易程序。</w:t>
      </w:r>
    </w:p>
    <w:p w14:paraId="4FE1F342">
      <w:pPr>
        <w:keepNext w:val="0"/>
        <w:keepLines w:val="0"/>
        <w:widowControl w:val="0"/>
        <w:suppressLineNumbers w:val="0"/>
        <w:spacing w:before="0" w:beforeAutospacing="0" w:after="0" w:afterAutospacing="0"/>
        <w:ind w:left="0" w:right="0" w:firstLine="640" w:firstLineChars="200"/>
        <w:jc w:val="both"/>
        <w:rPr>
          <w:rFonts w:hint="eastAsia" w:ascii="楷体_GB2312" w:hAnsi="Calibri" w:eastAsia="楷体_GB2312" w:cs="楷体_GB2312"/>
          <w:kern w:val="0"/>
          <w:sz w:val="32"/>
          <w:szCs w:val="32"/>
          <w:lang w:val="en-US" w:eastAsia="zh-CN" w:bidi="ar"/>
        </w:rPr>
      </w:pPr>
      <w:r>
        <w:rPr>
          <w:rFonts w:hint="eastAsia" w:ascii="楷体_GB2312" w:hAnsi="Calibri" w:eastAsia="楷体_GB2312" w:cs="楷体_GB2312"/>
          <w:kern w:val="0"/>
          <w:sz w:val="32"/>
          <w:szCs w:val="32"/>
          <w:lang w:val="en-US" w:eastAsia="zh-CN" w:bidi="ar"/>
        </w:rPr>
        <w:t>（四）结果运用</w:t>
      </w:r>
    </w:p>
    <w:p w14:paraId="7AE1A113">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区分直接免责和整改后免责两种类型，列举了限期整改情形。</w:t>
      </w:r>
    </w:p>
    <w:p w14:paraId="0E70E7A9">
      <w:pPr>
        <w:keepNext w:val="0"/>
        <w:keepLines w:val="0"/>
        <w:widowControl w:val="0"/>
        <w:suppressLineNumbers w:val="0"/>
        <w:spacing w:before="0" w:beforeAutospacing="0" w:after="0" w:afterAutospacing="0"/>
        <w:ind w:left="0" w:right="0" w:firstLine="640" w:firstLineChars="200"/>
        <w:jc w:val="both"/>
        <w:rPr>
          <w:rFonts w:hint="eastAsia" w:ascii="楷体_GB2312" w:hAnsi="Calibri" w:eastAsia="楷体_GB2312" w:cs="楷体_GB2312"/>
          <w:kern w:val="0"/>
          <w:sz w:val="32"/>
          <w:szCs w:val="32"/>
          <w:lang w:val="en-US" w:eastAsia="zh-CN" w:bidi="ar"/>
        </w:rPr>
      </w:pPr>
      <w:r>
        <w:rPr>
          <w:rFonts w:hint="eastAsia" w:ascii="楷体_GB2312" w:hAnsi="Calibri" w:eastAsia="楷体_GB2312" w:cs="楷体_GB2312"/>
          <w:kern w:val="0"/>
          <w:sz w:val="32"/>
          <w:szCs w:val="32"/>
          <w:lang w:val="en-US" w:eastAsia="zh-CN" w:bidi="ar"/>
        </w:rPr>
        <w:t>（五）组织保障</w:t>
      </w:r>
    </w:p>
    <w:p w14:paraId="32B258F6">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对相关主体责任进行了明确，强调对在免责材料中弄虚作假行为进行严肃处理。为包容各级不同文件中的容错免责规定，提出了相关适用情形。</w:t>
      </w:r>
    </w:p>
    <w:p w14:paraId="00391AEB">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kern w:val="0"/>
          <w:sz w:val="32"/>
          <w:szCs w:val="32"/>
        </w:rPr>
      </w:pPr>
      <w:r>
        <w:rPr>
          <w:rFonts w:hint="eastAsia" w:ascii="黑体" w:hAnsi="宋体" w:eastAsia="黑体" w:cs="黑体"/>
          <w:kern w:val="0"/>
          <w:sz w:val="32"/>
          <w:szCs w:val="32"/>
          <w:lang w:val="en-US" w:eastAsia="zh-CN" w:bidi="ar"/>
        </w:rPr>
        <w:t>四、重点关注事项</w:t>
      </w:r>
    </w:p>
    <w:p w14:paraId="3ED918A6">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一是</w:t>
      </w:r>
      <w:r>
        <w:rPr>
          <w:rFonts w:hint="eastAsia" w:ascii="仿宋_GB2312" w:eastAsia="仿宋_GB2312" w:cs="仿宋_GB2312"/>
          <w:kern w:val="0"/>
          <w:sz w:val="32"/>
          <w:szCs w:val="32"/>
          <w:lang w:val="en-US" w:eastAsia="zh-CN" w:bidi="ar"/>
        </w:rPr>
        <w:t>创新性提出企业及青年科研人员的“首次免责”</w:t>
      </w:r>
      <w:r>
        <w:rPr>
          <w:rFonts w:hint="eastAsia" w:ascii="仿宋_GB2312" w:hAnsi="Calibri" w:eastAsia="仿宋_GB2312" w:cs="仿宋_GB2312"/>
          <w:kern w:val="0"/>
          <w:sz w:val="32"/>
          <w:szCs w:val="32"/>
          <w:lang w:val="en-US" w:eastAsia="zh-CN" w:bidi="ar"/>
        </w:rPr>
        <w:t>。</w:t>
      </w:r>
      <w:r>
        <w:rPr>
          <w:rFonts w:hint="eastAsia" w:ascii="仿宋_GB2312" w:eastAsia="仿宋_GB2312" w:cs="仿宋_GB2312"/>
          <w:kern w:val="0"/>
          <w:sz w:val="32"/>
          <w:szCs w:val="32"/>
          <w:lang w:val="en-US" w:eastAsia="zh-CN" w:bidi="ar"/>
        </w:rPr>
        <w:t>其他省份相关文件未见相关提法，主要依据为行政处罚法中的“初次违法且危害后果轻微并及时改正的，可以不予行政处罚”条款。</w:t>
      </w:r>
    </w:p>
    <w:p w14:paraId="09AE93A5">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bidi="ar"/>
        </w:rPr>
        <w:t>二</w:t>
      </w:r>
      <w:r>
        <w:rPr>
          <w:rFonts w:hint="eastAsia" w:ascii="仿宋_GB2312" w:hAnsi="Calibri" w:eastAsia="仿宋_GB2312" w:cs="仿宋_GB2312"/>
          <w:kern w:val="0"/>
          <w:sz w:val="32"/>
          <w:szCs w:val="32"/>
          <w:lang w:val="en-US" w:eastAsia="zh-CN" w:bidi="ar"/>
        </w:rPr>
        <w:t>是强化对企业的支持。</w:t>
      </w:r>
      <w:r>
        <w:rPr>
          <w:rFonts w:hint="eastAsia" w:ascii="仿宋_GB2312" w:eastAsia="仿宋_GB2312" w:cs="仿宋_GB2312"/>
          <w:kern w:val="0"/>
          <w:sz w:val="32"/>
          <w:szCs w:val="32"/>
          <w:lang w:val="en-US" w:eastAsia="zh-CN" w:bidi="ar"/>
        </w:rPr>
        <w:t>部分企业项目属于后补助，企业因不可抗力因素导致项目无法完成，项目终止后不再拨付财政资金，本办法提出对企业垫付的财政资金进行补发，弥补企业损失。</w:t>
      </w:r>
    </w:p>
    <w:p w14:paraId="5A51A0C2">
      <w:pPr>
        <w:keepNext w:val="0"/>
        <w:keepLines w:val="0"/>
        <w:widowControl w:val="0"/>
        <w:suppressLineNumbers w:val="0"/>
        <w:spacing w:before="0" w:beforeAutospacing="0" w:after="0" w:afterAutospacing="0"/>
        <w:ind w:left="0" w:right="0" w:firstLine="640" w:firstLineChars="200"/>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bidi="ar"/>
        </w:rPr>
        <w:t>三</w:t>
      </w:r>
      <w:r>
        <w:rPr>
          <w:rFonts w:hint="eastAsia" w:ascii="仿宋_GB2312" w:hAnsi="Calibri" w:eastAsia="仿宋_GB2312" w:cs="仿宋_GB2312"/>
          <w:kern w:val="0"/>
          <w:sz w:val="32"/>
          <w:szCs w:val="32"/>
          <w:lang w:val="en-US" w:eastAsia="zh-CN" w:bidi="ar"/>
        </w:rPr>
        <w:t>是</w:t>
      </w:r>
      <w:r>
        <w:rPr>
          <w:rFonts w:hint="eastAsia" w:ascii="仿宋_GB2312" w:eastAsia="仿宋_GB2312" w:cs="仿宋_GB2312"/>
          <w:kern w:val="0"/>
          <w:sz w:val="32"/>
          <w:szCs w:val="32"/>
          <w:lang w:val="en-US" w:eastAsia="zh-CN" w:bidi="ar"/>
        </w:rPr>
        <w:t>明确了</w:t>
      </w:r>
      <w:r>
        <w:rPr>
          <w:rFonts w:hint="eastAsia" w:ascii="仿宋_GB2312" w:hAnsi="Calibri" w:eastAsia="仿宋_GB2312" w:cs="仿宋_GB2312"/>
          <w:kern w:val="0"/>
          <w:sz w:val="32"/>
          <w:szCs w:val="32"/>
          <w:lang w:val="en-US" w:eastAsia="zh-CN" w:bidi="ar"/>
        </w:rPr>
        <w:t>限期整改情形。</w:t>
      </w:r>
      <w:r>
        <w:rPr>
          <w:rFonts w:hint="eastAsia" w:ascii="仿宋_GB2312" w:eastAsia="仿宋_GB2312" w:cs="仿宋_GB2312"/>
          <w:kern w:val="0"/>
          <w:sz w:val="32"/>
          <w:szCs w:val="32"/>
          <w:lang w:val="en-US" w:eastAsia="zh-CN" w:bidi="ar"/>
        </w:rPr>
        <w:t>主要包括延期完成、资金退回及支付、纠正损害后果等情形</w:t>
      </w:r>
      <w:r>
        <w:rPr>
          <w:rFonts w:hint="eastAsia" w:ascii="仿宋_GB2312" w:hAnsi="Calibri" w:eastAsia="仿宋_GB2312" w:cs="仿宋_GB2312"/>
          <w:kern w:val="0"/>
          <w:sz w:val="32"/>
          <w:szCs w:val="32"/>
          <w:lang w:val="en-US" w:eastAsia="zh-CN" w:bidi="ar"/>
        </w:rPr>
        <w:t>。</w:t>
      </w:r>
    </w:p>
    <w:p w14:paraId="43DC9485"/>
    <w:sectPr>
      <w:pgSz w:w="11906" w:h="16838"/>
      <w:pgMar w:top="1440" w:right="1474" w:bottom="1440"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E4C58"/>
    <w:rsid w:val="74EE4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2025-02-24T09:25:00Z</dcterms:created>
  <dc:creator>Zoey</dc:creator>
  <cp:lastModifiedBy>Zoey</cp:lastModifiedBy>
  <dcterms:modified xsi:type="dcterms:W3CDTF">2025-02-24T09:26:02Z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2EE0CA74FFFB46C38D3D448742A880C7_11</vt:lpwstr>
  </property>
  <property fmtid="{D5CDD505-2E9C-101B-9397-08002B2CF9AE}" pid="4" name="KSOTemplateDocerSaveRecord">
    <vt:lpwstr>eyJoZGlkIjoiZWRmNTExNzRkNjE2NDNmZmY5YTU0ZTBjNGM5OGMxYzUiLCJ1c2VySWQiOiI2NDQ1NDM2MzUifQ==</vt:lpwstr>
  </property>
</Properties>
</file>