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32"/>
          <w:szCs w:val="32"/>
          <w:lang w:eastAsia="zh"/>
        </w:rPr>
      </w:pPr>
      <w:r>
        <w:rPr>
          <w:rFonts w:hint="eastAsia" w:ascii="黑体" w:hAnsi="黑体" w:eastAsia="黑体" w:cs="黑体"/>
          <w:color w:val="000000"/>
          <w:sz w:val="32"/>
          <w:szCs w:val="32"/>
          <w:lang w:eastAsia="zh"/>
        </w:rPr>
        <w:t>附件1</w:t>
      </w:r>
    </w:p>
    <w:p>
      <w:pPr>
        <w:pStyle w:val="2"/>
        <w:spacing w:line="560" w:lineRule="exact"/>
        <w:rPr>
          <w:rFonts w:hint="eastAsia"/>
          <w:lang w:eastAsia="zh"/>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海南省关于支持旅游演艺实施细则</w:t>
      </w:r>
    </w:p>
    <w:p>
      <w:pPr>
        <w:spacing w:line="560" w:lineRule="exact"/>
        <w:ind w:firstLine="640" w:firstLineChars="200"/>
        <w:rPr>
          <w:rFonts w:hint="eastAsia" w:ascii="仿宋_GB2312" w:hAnsi="仿宋_GB2312" w:eastAsia="仿宋_GB2312" w:cs="仿宋_GB2312"/>
          <w:color w:val="000000"/>
          <w:sz w:val="32"/>
          <w:szCs w:val="32"/>
          <w:lang w:eastAsia="zh-CN"/>
        </w:rPr>
      </w:pPr>
    </w:p>
    <w:p>
      <w:pPr>
        <w:pStyle w:val="5"/>
        <w:keepNext w:val="0"/>
        <w:keepLines w:val="0"/>
        <w:widowControl/>
        <w:suppressLineNumbers w:val="0"/>
        <w:autoSpaceDE w:val="0"/>
        <w:autoSpaceDN/>
        <w:spacing w:before="0" w:beforeLines="0" w:beforeAutospacing="0" w:after="0" w:afterLines="0" w:afterAutospacing="0" w:line="560" w:lineRule="exact"/>
        <w:ind w:left="0"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为进一步推动旅游演艺产业高质量发展，提升旅游文化内涵与吸引力，鼓励创新演艺形式，提升旅游演艺品质，促进文旅深度融合，通过旅游演艺带动相关产业协同发展，增加旅游消费，推动地方经济增长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一、参评基本要求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（一）</w:t>
      </w:r>
      <w:r>
        <w:rPr>
          <w:rFonts w:hint="eastAsia" w:ascii="仿宋_GB2312" w:hAnsi="仿宋_GB2312" w:eastAsia="仿宋_GB2312" w:cs="仿宋_GB2312"/>
          <w:b w:val="0"/>
          <w:bCs w:val="0"/>
          <w:color w:val="000000"/>
          <w:sz w:val="32"/>
          <w:szCs w:val="32"/>
          <w:lang w:eastAsia="zh-CN"/>
        </w:rPr>
        <w:t>申请奖补的旅游演艺项目必须是在海南省内，</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定制</w:t>
      </w:r>
      <w:r>
        <w:rPr>
          <w:rFonts w:hint="eastAsia" w:ascii="仿宋_GB2312" w:hAnsi="仿宋_GB2312" w:eastAsia="仿宋_GB2312" w:cs="仿宋_GB2312"/>
          <w:sz w:val="32"/>
          <w:szCs w:val="32"/>
        </w:rPr>
        <w:t>剧</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、主题公园、旅游景区内</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演艺场地</w:t>
      </w:r>
      <w:r>
        <w:rPr>
          <w:rFonts w:hint="eastAsia" w:ascii="仿宋_GB2312" w:hAnsi="仿宋_GB2312" w:eastAsia="仿宋_GB2312" w:cs="仿宋_GB2312"/>
          <w:b w:val="0"/>
          <w:bCs w:val="0"/>
          <w:color w:val="000000"/>
          <w:sz w:val="32"/>
          <w:szCs w:val="32"/>
          <w:lang w:eastAsia="zh-CN"/>
        </w:rPr>
        <w:t>举办的线下旅游演艺活动</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sz w:val="32"/>
          <w:szCs w:val="32"/>
        </w:rPr>
        <w:t>包括原创剧目、传统演艺项目创新、科技与演艺融合项目等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鼓励引进国内外知名演艺项目。</w:t>
      </w:r>
      <w:r>
        <w:rPr>
          <w:rFonts w:hint="eastAsia" w:ascii="仿宋_GB2312" w:hAnsi="仿宋_GB2312" w:eastAsia="仿宋_GB2312" w:cs="仿宋_GB2312"/>
          <w:sz w:val="32"/>
          <w:szCs w:val="32"/>
          <w:highlight w:val="yellow"/>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eastAsia="zh-CN"/>
        </w:rPr>
        <w:t>（二）旅游演艺报批手续齐全，不存在未经审批开展演出情况。</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（三）旅游演艺活动具有良好的社会效益和品牌影响力，未出现对演出行业、对社会公众、对海南形象造成不良影响的重大负面舆情。</w:t>
      </w:r>
    </w:p>
    <w:p>
      <w:pPr>
        <w:spacing w:line="560" w:lineRule="exact"/>
        <w:ind w:firstLine="640" w:firstLineChars="200"/>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color w:val="000000"/>
          <w:sz w:val="32"/>
          <w:szCs w:val="32"/>
          <w:lang w:eastAsia="zh-CN"/>
        </w:rPr>
        <w:t>（四）旅游演艺活动举办方（主办方）须是</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海南省</w:t>
      </w:r>
      <w:r>
        <w:rPr>
          <w:rFonts w:hint="eastAsia" w:ascii="仿宋_GB2312" w:hAnsi="仿宋_GB2312" w:eastAsia="仿宋_GB2312" w:cs="仿宋_GB2312"/>
          <w:sz w:val="32"/>
          <w:szCs w:val="32"/>
        </w:rPr>
        <w:t>依法设立、登记注册，</w:t>
      </w:r>
      <w:r>
        <w:rPr>
          <w:rFonts w:hint="eastAsia" w:ascii="仿宋_GB2312" w:hAnsi="仿宋_GB2312" w:eastAsia="仿宋_GB2312" w:cs="仿宋_GB2312"/>
          <w:sz w:val="32"/>
          <w:szCs w:val="32"/>
          <w:lang w:val="en-US" w:eastAsia="zh-CN"/>
        </w:rPr>
        <w:t>依法在海南省内申报纳税，无欠缴税款</w:t>
      </w:r>
      <w:r>
        <w:rPr>
          <w:rFonts w:hint="eastAsia" w:ascii="仿宋_GB2312" w:hAnsi="仿宋_GB2312" w:eastAsia="仿宋_GB2312" w:cs="仿宋_GB2312"/>
          <w:sz w:val="32"/>
          <w:szCs w:val="32"/>
          <w:highlight w:val="none"/>
          <w:lang w:val="en-US" w:eastAsia="zh-CN"/>
        </w:rPr>
        <w:t>及其他违规违法行为，</w:t>
      </w:r>
      <w:r>
        <w:rPr>
          <w:rFonts w:hint="eastAsia" w:ascii="仿宋_GB2312" w:hAnsi="仿宋_GB2312" w:eastAsia="仿宋_GB2312" w:cs="仿宋_GB2312"/>
          <w:kern w:val="2"/>
          <w:sz w:val="32"/>
          <w:szCs w:val="32"/>
          <w:highlight w:val="none"/>
          <w:lang w:val="en-US" w:eastAsia="zh-CN" w:bidi="ar-SA"/>
        </w:rPr>
        <w:t>有稳定的运营团队，固定的演出场地</w:t>
      </w:r>
      <w:r>
        <w:rPr>
          <w:rFonts w:hint="eastAsia" w:ascii="仿宋_GB2312" w:hAnsi="仿宋_GB2312" w:eastAsia="仿宋_GB2312" w:cs="仿宋_GB2312"/>
          <w:b w:val="0"/>
          <w:bCs w:val="0"/>
          <w:kern w:val="2"/>
          <w:sz w:val="32"/>
          <w:szCs w:val="32"/>
          <w:highlight w:val="none"/>
          <w:lang w:val="en-US" w:eastAsia="zh-CN" w:bidi="ar-SA"/>
        </w:rPr>
        <w:t>，在海南</w:t>
      </w:r>
      <w:r>
        <w:rPr>
          <w:rFonts w:hint="eastAsia" w:ascii="仿宋_GB2312" w:hAnsi="仿宋_GB2312" w:eastAsia="仿宋_GB2312" w:cs="仿宋_GB2312"/>
          <w:sz w:val="32"/>
          <w:szCs w:val="32"/>
          <w:highlight w:val="none"/>
        </w:rPr>
        <w:t>持续正常运营的旅游演艺项目运营主体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包括但不限于各类演艺公司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包括从事旅游演艺项目开发、运营的企业</w:t>
      </w:r>
      <w:r>
        <w:rPr>
          <w:rFonts w:hint="eastAsia" w:ascii="仿宋_GB2312" w:hAnsi="仿宋_GB2312" w:eastAsia="仿宋_GB2312" w:cs="仿宋_GB2312"/>
          <w:sz w:val="32"/>
          <w:szCs w:val="32"/>
          <w:highlight w:val="none"/>
          <w:lang w:eastAsia="zh-CN"/>
        </w:rPr>
        <w:t>，且</w:t>
      </w:r>
      <w:r>
        <w:rPr>
          <w:rFonts w:hint="eastAsia" w:ascii="仿宋_GB2312" w:hAnsi="仿宋_GB2312" w:eastAsia="仿宋_GB2312" w:cs="仿宋_GB2312"/>
          <w:color w:val="000000"/>
          <w:sz w:val="32"/>
          <w:szCs w:val="32"/>
          <w:highlight w:val="none"/>
          <w:lang w:eastAsia="zh-CN"/>
        </w:rPr>
        <w:t>三年内未出现重大负面舆情和安全事故，未被行政执法部门下达行政处罚决定书。</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lang w:eastAsia="zh-CN"/>
        </w:rPr>
        <w:t>（五）旅游演艺</w:t>
      </w:r>
      <w:r>
        <w:rPr>
          <w:rFonts w:hint="eastAsia" w:ascii="仿宋_GB2312" w:hAnsi="仿宋_GB2312" w:eastAsia="仿宋_GB2312" w:cs="仿宋_GB2312"/>
          <w:color w:val="000000"/>
          <w:sz w:val="32"/>
          <w:szCs w:val="32"/>
          <w:highlight w:val="none"/>
          <w:lang w:val="en-US" w:eastAsia="zh-CN"/>
        </w:rPr>
        <w:t>活动严格按照《营业性演出管理条例》、《营业性演出管理条例实施细则》</w:t>
      </w:r>
      <w:r>
        <w:rPr>
          <w:rFonts w:hint="eastAsia" w:ascii="仿宋_GB2312" w:hAnsi="仿宋_GB2312" w:eastAsia="仿宋_GB2312" w:cs="仿宋_GB2312"/>
          <w:sz w:val="32"/>
          <w:szCs w:val="32"/>
          <w:highlight w:val="none"/>
          <w:lang w:val="en-US" w:eastAsia="zh-CN"/>
        </w:rPr>
        <w:t>文化和旅游部《关于促进</w:t>
      </w:r>
      <w:r>
        <w:rPr>
          <w:rFonts w:hint="eastAsia" w:ascii="仿宋_GB2312" w:hAnsi="仿宋_GB2312" w:eastAsia="仿宋_GB2312" w:cs="仿宋_GB2312"/>
          <w:sz w:val="32"/>
          <w:szCs w:val="32"/>
          <w:lang w:val="en-US" w:eastAsia="zh-CN"/>
        </w:rPr>
        <w:t>旅游演艺发展的指导意见》（文旅政法发〔2019〕29号），</w:t>
      </w:r>
      <w:r>
        <w:rPr>
          <w:rFonts w:hint="eastAsia" w:ascii="仿宋_GB2312" w:hAnsi="仿宋_GB2312" w:eastAsia="仿宋_GB2312" w:cs="仿宋_GB2312"/>
          <w:color w:val="000000"/>
          <w:sz w:val="32"/>
          <w:szCs w:val="32"/>
          <w:lang w:val="en-US" w:eastAsia="zh-CN"/>
        </w:rPr>
        <w:t>文化和旅游部、公安部《关于进一步加强大型营业性演出活动规范管理促进演出市场健康有序发展的通知》（文旅市场发〔2023〕96号）</w:t>
      </w:r>
      <w:r>
        <w:rPr>
          <w:rFonts w:hint="eastAsia" w:ascii="仿宋_GB2312" w:hAnsi="仿宋_GB2312" w:eastAsia="仿宋_GB2312" w:cs="仿宋_GB2312"/>
          <w:color w:val="000000"/>
          <w:sz w:val="32"/>
          <w:szCs w:val="32"/>
          <w:lang w:eastAsia="zh-CN"/>
        </w:rPr>
        <w:t>和海南省旅游和文化广电体育厅、中共海南省委宣传部、中共海南省委网络安全和信息化委员会办公室、海南省公安厅、海南省市场监督管理局、海南省应急管理厅、海南省商务厅、海南省司法厅、海南省营商环境建设厅、海南省消防救援总队《</w:t>
      </w:r>
      <w:r>
        <w:rPr>
          <w:rFonts w:hint="eastAsia" w:ascii="仿宋_GB2312" w:hAnsi="仿宋_GB2312" w:eastAsia="仿宋_GB2312" w:cs="仿宋_GB2312"/>
          <w:color w:val="000000"/>
          <w:sz w:val="32"/>
          <w:szCs w:val="32"/>
        </w:rPr>
        <w:t>关于进一步加强海南省大型营业性演出活动规范管理促进演出市场健康有序发展的</w:t>
      </w:r>
      <w:r>
        <w:rPr>
          <w:rFonts w:hint="eastAsia" w:ascii="仿宋_GB2312" w:hAnsi="仿宋_GB2312" w:eastAsia="仿宋_GB2312" w:cs="仿宋_GB2312"/>
          <w:color w:val="000000"/>
          <w:sz w:val="32"/>
          <w:szCs w:val="32"/>
          <w:lang w:eastAsia="zh-CN"/>
        </w:rPr>
        <w:t>通知》（琼旅文便函〔2023〕</w:t>
      </w:r>
      <w:r>
        <w:rPr>
          <w:rFonts w:hint="eastAsia" w:ascii="仿宋_GB2312" w:hAnsi="仿宋_GB2312" w:eastAsia="仿宋_GB2312" w:cs="仿宋_GB2312"/>
          <w:color w:val="000000"/>
          <w:sz w:val="32"/>
          <w:szCs w:val="32"/>
          <w:lang w:val="en-US" w:eastAsia="zh-CN"/>
        </w:rPr>
        <w:t>3421</w:t>
      </w:r>
      <w:r>
        <w:rPr>
          <w:rFonts w:hint="eastAsia" w:ascii="仿宋_GB2312" w:hAnsi="仿宋_GB2312" w:eastAsia="仿宋_GB2312" w:cs="仿宋_GB2312"/>
          <w:color w:val="000000"/>
          <w:sz w:val="32"/>
          <w:szCs w:val="32"/>
          <w:lang w:eastAsia="zh-CN"/>
        </w:rPr>
        <w:t>号）各项要求做好大型营业性演出活动审批、安全、票务、舆情等各项工作。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color w:val="000000"/>
          <w:sz w:val="32"/>
          <w:szCs w:val="32"/>
          <w:lang w:val="en-US" w:eastAsia="zh-CN"/>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lang w:val="en-US" w:eastAsia="zh-CN"/>
        </w:rPr>
        <w:t>奖补标准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（一）项目</w:t>
      </w:r>
      <w:r>
        <w:rPr>
          <w:rFonts w:hint="eastAsia" w:ascii="仿宋_GB2312" w:hAnsi="仿宋_GB2312" w:eastAsia="仿宋_GB2312" w:cs="仿宋_GB2312"/>
          <w:b w:val="0"/>
          <w:bCs w:val="0"/>
          <w:sz w:val="32"/>
          <w:szCs w:val="32"/>
          <w:highlight w:val="none"/>
          <w:lang w:eastAsia="zh-CN"/>
        </w:rPr>
        <w:t>在海南持续演出</w:t>
      </w:r>
      <w:r>
        <w:rPr>
          <w:rFonts w:hint="eastAsia" w:ascii="仿宋_GB2312" w:hAnsi="仿宋_GB2312" w:eastAsia="仿宋_GB2312" w:cs="仿宋_GB2312"/>
          <w:b w:val="0"/>
          <w:bCs w:val="0"/>
          <w:sz w:val="32"/>
          <w:szCs w:val="32"/>
          <w:highlight w:val="none"/>
          <w:lang w:val="en-US" w:eastAsia="zh-CN"/>
        </w:rPr>
        <w:t>三年以上的旅游演艺项目，</w:t>
      </w:r>
      <w:r>
        <w:rPr>
          <w:rFonts w:hint="eastAsia" w:ascii="仿宋_GB2312" w:hAnsi="仿宋_GB2312" w:eastAsia="仿宋_GB2312" w:cs="仿宋_GB2312"/>
          <w:sz w:val="32"/>
          <w:szCs w:val="32"/>
          <w:highlight w:val="none"/>
        </w:rPr>
        <w:t>年度内演出场次</w:t>
      </w:r>
      <w:r>
        <w:rPr>
          <w:rFonts w:hint="eastAsia" w:ascii="仿宋_GB2312" w:hAnsi="仿宋_GB2312" w:eastAsia="仿宋_GB2312" w:cs="仿宋_GB2312"/>
          <w:sz w:val="32"/>
          <w:szCs w:val="32"/>
          <w:highlight w:val="none"/>
          <w:lang w:val="en-US" w:eastAsia="zh-CN"/>
        </w:rPr>
        <w:t>不低于500</w:t>
      </w:r>
      <w:r>
        <w:rPr>
          <w:rFonts w:hint="eastAsia" w:ascii="仿宋_GB2312" w:hAnsi="仿宋_GB2312" w:eastAsia="仿宋_GB2312" w:cs="仿宋_GB2312"/>
          <w:sz w:val="32"/>
          <w:szCs w:val="32"/>
          <w:highlight w:val="none"/>
        </w:rPr>
        <w:t>场，且</w:t>
      </w:r>
      <w:r>
        <w:rPr>
          <w:rFonts w:hint="eastAsia" w:ascii="仿宋_GB2312" w:hAnsi="仿宋_GB2312" w:eastAsia="仿宋_GB2312" w:cs="仿宋_GB2312"/>
          <w:sz w:val="32"/>
          <w:szCs w:val="32"/>
          <w:highlight w:val="none"/>
          <w:lang w:eastAsia="zh-CN"/>
        </w:rPr>
        <w:t>年度</w:t>
      </w:r>
      <w:r>
        <w:rPr>
          <w:rFonts w:hint="eastAsia" w:ascii="仿宋_GB2312" w:hAnsi="仿宋_GB2312" w:eastAsia="仿宋_GB2312" w:cs="仿宋_GB2312"/>
          <w:sz w:val="32"/>
          <w:szCs w:val="32"/>
          <w:highlight w:val="none"/>
        </w:rPr>
        <w:t>观众人数</w:t>
      </w:r>
      <w:r>
        <w:rPr>
          <w:rFonts w:hint="eastAsia" w:ascii="仿宋_GB2312" w:hAnsi="仿宋_GB2312" w:eastAsia="仿宋_GB2312" w:cs="仿宋_GB2312"/>
          <w:sz w:val="32"/>
          <w:szCs w:val="32"/>
          <w:highlight w:val="none"/>
          <w:lang w:val="en-US" w:eastAsia="zh-CN"/>
        </w:rPr>
        <w:t>不低于20万</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，年度演出收入达到</w:t>
      </w:r>
      <w:r>
        <w:rPr>
          <w:rFonts w:hint="eastAsia" w:ascii="仿宋_GB2312" w:hAnsi="仿宋_GB2312" w:eastAsia="仿宋_GB2312" w:cs="仿宋_GB2312"/>
          <w:sz w:val="32"/>
          <w:szCs w:val="32"/>
          <w:highlight w:val="none"/>
          <w:lang w:val="en-US" w:eastAsia="zh-CN"/>
        </w:rPr>
        <w:t>1000万元，</w:t>
      </w:r>
      <w:r>
        <w:rPr>
          <w:rFonts w:hint="eastAsia" w:ascii="仿宋_GB2312" w:hAnsi="仿宋_GB2312" w:eastAsia="仿宋_GB2312" w:cs="仿宋_GB2312"/>
          <w:sz w:val="32"/>
          <w:szCs w:val="32"/>
          <w:highlight w:val="none"/>
        </w:rPr>
        <w:t>省外观众比例超过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给予50万元</w:t>
      </w:r>
      <w:r>
        <w:rPr>
          <w:rFonts w:hint="eastAsia" w:ascii="仿宋_GB2312" w:hAnsi="仿宋_GB2312" w:eastAsia="仿宋_GB2312" w:cs="仿宋_GB2312"/>
          <w:sz w:val="32"/>
          <w:szCs w:val="32"/>
          <w:highlight w:val="none"/>
          <w:lang w:eastAsia="zh-CN"/>
        </w:rPr>
        <w:t>一次性奖励</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（二）项目</w:t>
      </w:r>
      <w:r>
        <w:rPr>
          <w:rFonts w:hint="eastAsia" w:ascii="仿宋_GB2312" w:hAnsi="仿宋_GB2312" w:eastAsia="仿宋_GB2312" w:cs="仿宋_GB2312"/>
          <w:b w:val="0"/>
          <w:bCs w:val="0"/>
          <w:sz w:val="32"/>
          <w:szCs w:val="32"/>
          <w:highlight w:val="none"/>
          <w:lang w:eastAsia="zh-CN"/>
        </w:rPr>
        <w:t>在海南持续</w:t>
      </w:r>
      <w:bookmarkStart w:id="0" w:name="_GoBack"/>
      <w:bookmarkEnd w:id="0"/>
      <w:r>
        <w:rPr>
          <w:rFonts w:hint="eastAsia" w:ascii="仿宋_GB2312" w:hAnsi="仿宋_GB2312" w:eastAsia="仿宋_GB2312" w:cs="仿宋_GB2312"/>
          <w:b w:val="0"/>
          <w:bCs w:val="0"/>
          <w:sz w:val="32"/>
          <w:szCs w:val="32"/>
          <w:highlight w:val="none"/>
          <w:lang w:eastAsia="zh-CN"/>
        </w:rPr>
        <w:t>演出</w:t>
      </w:r>
      <w:r>
        <w:rPr>
          <w:rFonts w:hint="eastAsia" w:ascii="仿宋_GB2312" w:hAnsi="仿宋_GB2312" w:eastAsia="仿宋_GB2312" w:cs="仿宋_GB2312"/>
          <w:b w:val="0"/>
          <w:bCs w:val="0"/>
          <w:sz w:val="32"/>
          <w:szCs w:val="32"/>
          <w:highlight w:val="none"/>
          <w:lang w:val="en-US" w:eastAsia="zh-CN"/>
        </w:rPr>
        <w:t>三年以上的旅游演艺项目，</w:t>
      </w:r>
      <w:r>
        <w:rPr>
          <w:rFonts w:hint="eastAsia" w:ascii="仿宋_GB2312" w:hAnsi="仿宋_GB2312" w:eastAsia="仿宋_GB2312" w:cs="仿宋_GB2312"/>
          <w:sz w:val="32"/>
          <w:szCs w:val="32"/>
          <w:highlight w:val="none"/>
        </w:rPr>
        <w:t>年度内演出场次</w:t>
      </w:r>
      <w:r>
        <w:rPr>
          <w:rFonts w:hint="eastAsia" w:ascii="仿宋_GB2312" w:hAnsi="仿宋_GB2312" w:eastAsia="仿宋_GB2312" w:cs="仿宋_GB2312"/>
          <w:sz w:val="32"/>
          <w:szCs w:val="32"/>
          <w:highlight w:val="none"/>
          <w:lang w:val="en-US" w:eastAsia="zh-CN"/>
        </w:rPr>
        <w:t>不低于1000</w:t>
      </w:r>
      <w:r>
        <w:rPr>
          <w:rFonts w:hint="eastAsia" w:ascii="仿宋_GB2312" w:hAnsi="仿宋_GB2312" w:eastAsia="仿宋_GB2312" w:cs="仿宋_GB2312"/>
          <w:sz w:val="32"/>
          <w:szCs w:val="32"/>
          <w:highlight w:val="none"/>
        </w:rPr>
        <w:t>场，且</w:t>
      </w:r>
      <w:r>
        <w:rPr>
          <w:rFonts w:hint="eastAsia" w:ascii="仿宋_GB2312" w:hAnsi="仿宋_GB2312" w:eastAsia="仿宋_GB2312" w:cs="仿宋_GB2312"/>
          <w:sz w:val="32"/>
          <w:szCs w:val="32"/>
          <w:highlight w:val="none"/>
          <w:lang w:eastAsia="zh-CN"/>
        </w:rPr>
        <w:t>年度</w:t>
      </w:r>
      <w:r>
        <w:rPr>
          <w:rFonts w:hint="eastAsia" w:ascii="仿宋_GB2312" w:hAnsi="仿宋_GB2312" w:eastAsia="仿宋_GB2312" w:cs="仿宋_GB2312"/>
          <w:sz w:val="32"/>
          <w:szCs w:val="32"/>
          <w:highlight w:val="none"/>
        </w:rPr>
        <w:t>观众人数</w:t>
      </w:r>
      <w:r>
        <w:rPr>
          <w:rFonts w:hint="eastAsia" w:ascii="仿宋_GB2312" w:hAnsi="仿宋_GB2312" w:eastAsia="仿宋_GB2312" w:cs="仿宋_GB2312"/>
          <w:sz w:val="32"/>
          <w:szCs w:val="32"/>
          <w:highlight w:val="none"/>
          <w:lang w:val="en-US" w:eastAsia="zh-CN"/>
        </w:rPr>
        <w:t>不低于40万</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，年度演出收入达到</w:t>
      </w:r>
      <w:r>
        <w:rPr>
          <w:rFonts w:hint="eastAsia" w:ascii="仿宋_GB2312" w:hAnsi="仿宋_GB2312" w:eastAsia="仿宋_GB2312" w:cs="仿宋_GB2312"/>
          <w:sz w:val="32"/>
          <w:szCs w:val="32"/>
          <w:highlight w:val="none"/>
          <w:lang w:val="en-US" w:eastAsia="zh-CN"/>
        </w:rPr>
        <w:t>2000万元，</w:t>
      </w:r>
      <w:r>
        <w:rPr>
          <w:rFonts w:hint="eastAsia" w:ascii="仿宋_GB2312" w:hAnsi="仿宋_GB2312" w:eastAsia="仿宋_GB2312" w:cs="仿宋_GB2312"/>
          <w:sz w:val="32"/>
          <w:szCs w:val="32"/>
          <w:highlight w:val="none"/>
        </w:rPr>
        <w:t>省外观众比例超过</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给予100万元</w:t>
      </w:r>
      <w:r>
        <w:rPr>
          <w:rFonts w:hint="eastAsia" w:ascii="仿宋_GB2312" w:hAnsi="仿宋_GB2312" w:eastAsia="仿宋_GB2312" w:cs="仿宋_GB2312"/>
          <w:sz w:val="32"/>
          <w:szCs w:val="32"/>
          <w:highlight w:val="none"/>
          <w:lang w:eastAsia="zh-CN"/>
        </w:rPr>
        <w:t>一次性奖励</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（三）我省保留的国家级和省部级重大节庆活动配套旅游演艺项目，演出内容为弘扬和传承中国历史文化、革命文化、海洋文化、民俗文化，可列为重点扶持项目。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
        </w:rPr>
        <w:t>.</w:t>
      </w:r>
      <w:r>
        <w:rPr>
          <w:rFonts w:hint="eastAsia" w:ascii="仿宋_GB2312" w:hAnsi="仿宋_GB2312" w:eastAsia="仿宋_GB2312" w:cs="仿宋_GB2312"/>
          <w:b w:val="0"/>
          <w:bCs w:val="0"/>
          <w:sz w:val="32"/>
          <w:szCs w:val="32"/>
          <w:highlight w:val="none"/>
          <w:lang w:val="en-US" w:eastAsia="zh-CN"/>
        </w:rPr>
        <w:t>项目首</w:t>
      </w:r>
      <w:r>
        <w:rPr>
          <w:rFonts w:hint="eastAsia" w:ascii="仿宋_GB2312" w:hAnsi="仿宋_GB2312" w:eastAsia="仿宋_GB2312" w:cs="仿宋_GB2312"/>
          <w:sz w:val="32"/>
          <w:szCs w:val="32"/>
          <w:highlight w:val="none"/>
        </w:rPr>
        <w:t>年度演出场次</w:t>
      </w:r>
      <w:r>
        <w:rPr>
          <w:rFonts w:hint="eastAsia" w:ascii="仿宋_GB2312" w:hAnsi="仿宋_GB2312" w:eastAsia="仿宋_GB2312" w:cs="仿宋_GB2312"/>
          <w:sz w:val="32"/>
          <w:szCs w:val="32"/>
          <w:highlight w:val="none"/>
          <w:lang w:val="en-US" w:eastAsia="zh-CN"/>
        </w:rPr>
        <w:t>不低于300</w:t>
      </w:r>
      <w:r>
        <w:rPr>
          <w:rFonts w:hint="eastAsia" w:ascii="仿宋_GB2312" w:hAnsi="仿宋_GB2312" w:eastAsia="仿宋_GB2312" w:cs="仿宋_GB2312"/>
          <w:sz w:val="32"/>
          <w:szCs w:val="32"/>
          <w:highlight w:val="none"/>
        </w:rPr>
        <w:t>场，且</w:t>
      </w:r>
      <w:r>
        <w:rPr>
          <w:rFonts w:hint="eastAsia" w:ascii="仿宋_GB2312" w:hAnsi="仿宋_GB2312" w:eastAsia="仿宋_GB2312" w:cs="仿宋_GB2312"/>
          <w:sz w:val="32"/>
          <w:szCs w:val="32"/>
          <w:highlight w:val="none"/>
          <w:lang w:eastAsia="zh-CN"/>
        </w:rPr>
        <w:t>年度</w:t>
      </w:r>
      <w:r>
        <w:rPr>
          <w:rFonts w:hint="eastAsia" w:ascii="仿宋_GB2312" w:hAnsi="仿宋_GB2312" w:eastAsia="仿宋_GB2312" w:cs="仿宋_GB2312"/>
          <w:sz w:val="32"/>
          <w:szCs w:val="32"/>
          <w:highlight w:val="none"/>
        </w:rPr>
        <w:t>观众人数</w:t>
      </w:r>
      <w:r>
        <w:rPr>
          <w:rFonts w:hint="eastAsia" w:ascii="仿宋_GB2312" w:hAnsi="仿宋_GB2312" w:eastAsia="仿宋_GB2312" w:cs="仿宋_GB2312"/>
          <w:sz w:val="32"/>
          <w:szCs w:val="32"/>
          <w:highlight w:val="none"/>
          <w:lang w:val="en-US" w:eastAsia="zh-CN"/>
        </w:rPr>
        <w:t>不低于5万</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次，年度演出收入达到</w:t>
      </w:r>
      <w:r>
        <w:rPr>
          <w:rFonts w:hint="eastAsia" w:ascii="仿宋_GB2312" w:hAnsi="仿宋_GB2312" w:eastAsia="仿宋_GB2312" w:cs="仿宋_GB2312"/>
          <w:sz w:val="32"/>
          <w:szCs w:val="32"/>
          <w:highlight w:val="none"/>
          <w:lang w:val="en-US" w:eastAsia="zh-CN"/>
        </w:rPr>
        <w:t>200万元，</w:t>
      </w:r>
      <w:r>
        <w:rPr>
          <w:rFonts w:hint="eastAsia" w:ascii="仿宋_GB2312" w:hAnsi="仿宋_GB2312" w:eastAsia="仿宋_GB2312" w:cs="仿宋_GB2312"/>
          <w:sz w:val="32"/>
          <w:szCs w:val="32"/>
          <w:highlight w:val="none"/>
        </w:rPr>
        <w:t>省外观众比例超过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给予100万元</w:t>
      </w:r>
      <w:r>
        <w:rPr>
          <w:rFonts w:hint="eastAsia" w:ascii="仿宋_GB2312" w:hAnsi="仿宋_GB2312" w:eastAsia="仿宋_GB2312" w:cs="仿宋_GB2312"/>
          <w:sz w:val="32"/>
          <w:szCs w:val="32"/>
          <w:highlight w:val="none"/>
          <w:lang w:eastAsia="zh-CN"/>
        </w:rPr>
        <w:t>一次性奖励</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
        </w:rPr>
        <w:t>.</w:t>
      </w:r>
      <w:r>
        <w:rPr>
          <w:rFonts w:hint="eastAsia" w:ascii="仿宋_GB2312" w:hAnsi="仿宋_GB2312" w:eastAsia="仿宋_GB2312" w:cs="仿宋_GB2312"/>
          <w:b w:val="0"/>
          <w:bCs w:val="0"/>
          <w:sz w:val="32"/>
          <w:szCs w:val="32"/>
          <w:highlight w:val="none"/>
          <w:lang w:val="en-US" w:eastAsia="zh-CN"/>
        </w:rPr>
        <w:t>项目首</w:t>
      </w:r>
      <w:r>
        <w:rPr>
          <w:rFonts w:hint="eastAsia" w:ascii="仿宋_GB2312" w:hAnsi="仿宋_GB2312" w:eastAsia="仿宋_GB2312" w:cs="仿宋_GB2312"/>
          <w:sz w:val="32"/>
          <w:szCs w:val="32"/>
          <w:highlight w:val="none"/>
        </w:rPr>
        <w:t>年度演出场次</w:t>
      </w:r>
      <w:r>
        <w:rPr>
          <w:rFonts w:hint="eastAsia" w:ascii="仿宋_GB2312" w:hAnsi="仿宋_GB2312" w:eastAsia="仿宋_GB2312" w:cs="仿宋_GB2312"/>
          <w:sz w:val="32"/>
          <w:szCs w:val="32"/>
          <w:highlight w:val="none"/>
          <w:lang w:val="en-US" w:eastAsia="zh-CN"/>
        </w:rPr>
        <w:t>不低于400</w:t>
      </w:r>
      <w:r>
        <w:rPr>
          <w:rFonts w:hint="eastAsia" w:ascii="仿宋_GB2312" w:hAnsi="仿宋_GB2312" w:eastAsia="仿宋_GB2312" w:cs="仿宋_GB2312"/>
          <w:sz w:val="32"/>
          <w:szCs w:val="32"/>
          <w:highlight w:val="none"/>
        </w:rPr>
        <w:t>场，且</w:t>
      </w:r>
      <w:r>
        <w:rPr>
          <w:rFonts w:hint="eastAsia" w:ascii="仿宋_GB2312" w:hAnsi="仿宋_GB2312" w:eastAsia="仿宋_GB2312" w:cs="仿宋_GB2312"/>
          <w:sz w:val="32"/>
          <w:szCs w:val="32"/>
          <w:highlight w:val="none"/>
          <w:lang w:eastAsia="zh-CN"/>
        </w:rPr>
        <w:t>年度</w:t>
      </w:r>
      <w:r>
        <w:rPr>
          <w:rFonts w:hint="eastAsia" w:ascii="仿宋_GB2312" w:hAnsi="仿宋_GB2312" w:eastAsia="仿宋_GB2312" w:cs="仿宋_GB2312"/>
          <w:sz w:val="32"/>
          <w:szCs w:val="32"/>
          <w:highlight w:val="none"/>
        </w:rPr>
        <w:t>观众人数</w:t>
      </w:r>
      <w:r>
        <w:rPr>
          <w:rFonts w:hint="eastAsia" w:ascii="仿宋_GB2312" w:hAnsi="仿宋_GB2312" w:eastAsia="仿宋_GB2312" w:cs="仿宋_GB2312"/>
          <w:sz w:val="32"/>
          <w:szCs w:val="32"/>
          <w:highlight w:val="none"/>
          <w:lang w:val="en-US" w:eastAsia="zh-CN"/>
        </w:rPr>
        <w:t>不低于10万</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次，年度演出收入达到</w:t>
      </w:r>
      <w:r>
        <w:rPr>
          <w:rFonts w:hint="eastAsia" w:ascii="仿宋_GB2312" w:hAnsi="仿宋_GB2312" w:eastAsia="仿宋_GB2312" w:cs="仿宋_GB2312"/>
          <w:sz w:val="32"/>
          <w:szCs w:val="32"/>
          <w:highlight w:val="none"/>
          <w:lang w:val="en-US" w:eastAsia="zh-CN"/>
        </w:rPr>
        <w:t>300万元，</w:t>
      </w:r>
      <w:r>
        <w:rPr>
          <w:rFonts w:hint="eastAsia" w:ascii="仿宋_GB2312" w:hAnsi="仿宋_GB2312" w:eastAsia="仿宋_GB2312" w:cs="仿宋_GB2312"/>
          <w:sz w:val="32"/>
          <w:szCs w:val="32"/>
          <w:highlight w:val="none"/>
        </w:rPr>
        <w:t>省外观众比例超过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给予200万元</w:t>
      </w:r>
      <w:r>
        <w:rPr>
          <w:rFonts w:hint="eastAsia" w:ascii="仿宋_GB2312" w:hAnsi="仿宋_GB2312" w:eastAsia="仿宋_GB2312" w:cs="仿宋_GB2312"/>
          <w:sz w:val="32"/>
          <w:szCs w:val="32"/>
          <w:highlight w:val="none"/>
          <w:lang w:eastAsia="zh-CN"/>
        </w:rPr>
        <w:t>一次性奖励</w:t>
      </w:r>
      <w:r>
        <w:rPr>
          <w:rFonts w:hint="eastAsia" w:ascii="仿宋_GB2312" w:hAnsi="仿宋_GB2312" w:eastAsia="仿宋_GB2312" w:cs="仿宋_GB2312"/>
          <w:sz w:val="32"/>
          <w:szCs w:val="32"/>
          <w:highlight w:val="none"/>
          <w:lang w:val="en-US" w:eastAsia="zh-CN"/>
        </w:rPr>
        <w:t>；</w:t>
      </w:r>
    </w:p>
    <w:p>
      <w:pPr>
        <w:pStyle w:val="2"/>
        <w:spacing w:before="0" w:beforeAutospacing="0" w:after="0" w:afterAutospacing="0" w:line="560" w:lineRule="exact"/>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color w:val="000000"/>
          <w:sz w:val="32"/>
          <w:szCs w:val="32"/>
          <w:lang w:val="en-US" w:eastAsia="zh-CN"/>
        </w:rPr>
        <w:t>岛内外观众界定以</w:t>
      </w:r>
      <w:r>
        <w:rPr>
          <w:rFonts w:hint="eastAsia" w:ascii="仿宋_GB2312" w:hAnsi="仿宋_GB2312" w:eastAsia="仿宋_GB2312" w:cs="仿宋_GB2312"/>
          <w:b w:val="0"/>
          <w:bCs/>
          <w:color w:val="000000"/>
          <w:sz w:val="32"/>
          <w:szCs w:val="32"/>
          <w:highlight w:val="none"/>
          <w:lang w:eastAsia="zh-CN"/>
        </w:rPr>
        <w:t>身份证件为</w:t>
      </w:r>
      <w:r>
        <w:rPr>
          <w:rFonts w:hint="eastAsia" w:ascii="仿宋_GB2312" w:hAnsi="仿宋_GB2312" w:eastAsia="仿宋_GB2312" w:cs="仿宋_GB2312"/>
          <w:b w:val="0"/>
          <w:bCs/>
          <w:color w:val="000000"/>
          <w:sz w:val="32"/>
          <w:szCs w:val="32"/>
          <w:lang w:val="en-US" w:eastAsia="zh-CN"/>
        </w:rPr>
        <w:t>凭据</w:t>
      </w:r>
      <w:r>
        <w:rPr>
          <w:rFonts w:hint="eastAsia" w:ascii="仿宋_GB2312" w:hAnsi="仿宋_GB2312" w:eastAsia="仿宋_GB2312" w:cs="仿宋_GB2312"/>
          <w:b w:val="0"/>
          <w:bCs/>
          <w:color w:val="000000"/>
          <w:sz w:val="32"/>
          <w:szCs w:val="32"/>
          <w:highlight w:val="none"/>
          <w:lang w:eastAsia="zh-CN"/>
        </w:rPr>
        <w:t>。</w:t>
      </w:r>
    </w:p>
    <w:p>
      <w:pPr>
        <w:pStyle w:val="2"/>
        <w:numPr>
          <w:ilvl w:val="0"/>
          <w:numId w:val="1"/>
        </w:numPr>
        <w:spacing w:before="0" w:beforeAutospacing="0" w:after="0" w:afterAutospacing="0" w:line="560" w:lineRule="exact"/>
        <w:ind w:firstLine="640" w:firstLineChars="20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申请材料</w:t>
      </w:r>
    </w:p>
    <w:p>
      <w:pPr>
        <w:pStyle w:val="2"/>
        <w:spacing w:before="0" w:beforeAutospacing="0" w:after="0" w:afterAutospacing="0" w:line="56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（一）</w:t>
      </w:r>
      <w:r>
        <w:rPr>
          <w:rFonts w:hint="eastAsia" w:ascii="仿宋_GB2312" w:hAnsi="仿宋_GB2312" w:eastAsia="仿宋_GB2312" w:cs="仿宋_GB2312"/>
          <w:b w:val="0"/>
          <w:bCs/>
          <w:color w:val="000000"/>
          <w:sz w:val="32"/>
          <w:szCs w:val="32"/>
        </w:rPr>
        <w:t>项目申请表和总结报告</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申报单位营业执照、营业性演出许可证、申报项目营业性演出准予许可决定</w:t>
      </w:r>
      <w:r>
        <w:rPr>
          <w:rFonts w:hint="eastAsia" w:ascii="仿宋_GB2312" w:hAnsi="仿宋_GB2312" w:eastAsia="仿宋_GB2312" w:cs="仿宋_GB2312"/>
          <w:color w:val="000000"/>
          <w:sz w:val="32"/>
          <w:szCs w:val="32"/>
          <w:highlight w:val="none"/>
          <w:lang w:eastAsia="zh-CN"/>
        </w:rPr>
        <w:t>（扫描件）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）购票观众人数凭证，包括但不限于各销售平台数据凭证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b w:val="0"/>
          <w:bCs w:val="0"/>
          <w:color w:val="000000"/>
          <w:sz w:val="32"/>
          <w:szCs w:val="32"/>
          <w:lang w:eastAsia="zh-CN"/>
        </w:rPr>
        <w:t>票务销售方案</w:t>
      </w:r>
      <w:r>
        <w:rPr>
          <w:rFonts w:hint="eastAsia" w:ascii="仿宋_GB2312" w:hAnsi="仿宋_GB2312" w:eastAsia="仿宋_GB2312" w:cs="仿宋_GB2312"/>
          <w:color w:val="000000"/>
          <w:sz w:val="32"/>
          <w:szCs w:val="32"/>
          <w:lang w:eastAsia="zh-CN"/>
        </w:rPr>
        <w:t>（应包含演出项目名称、演出时间、演出场次、售票渠道、门票数量、票务公开销售比例、岛外观众比例及数量清单、退票规则等信息）；</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lang w:eastAsia="zh-CN"/>
        </w:rPr>
        <w:t>演出举办单位与演出票务销售平台签订的票务销售合同（含委托书）、发票；</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lang w:eastAsia="zh-CN"/>
        </w:rPr>
        <w:t>演出票务销售平台销售结算清单、银行流水、会计凭证、纳税申报表、完税证明等；</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sz w:val="30"/>
          <w:szCs w:val="30"/>
        </w:rPr>
        <w:t>各票价销售统计汇总表（含销售点信息）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1-4项凭证材料须盖申报</w:t>
      </w:r>
      <w:r>
        <w:rPr>
          <w:rFonts w:hint="eastAsia" w:ascii="仿宋_GB2312" w:hAnsi="仿宋_GB2312" w:eastAsia="仿宋_GB2312" w:cs="仿宋_GB2312"/>
          <w:color w:val="000000"/>
          <w:sz w:val="32"/>
          <w:szCs w:val="32"/>
          <w:lang w:val="en-US" w:eastAsia="zh-CN"/>
        </w:rPr>
        <w:t>单位公章、</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票务</w:t>
      </w:r>
      <w:r>
        <w:rPr>
          <w:rFonts w:hint="eastAsia" w:ascii="仿宋_GB2312" w:hAnsi="仿宋_GB2312" w:eastAsia="仿宋_GB2312" w:cs="仿宋_GB2312"/>
          <w:color w:val="000000"/>
          <w:sz w:val="32"/>
          <w:szCs w:val="32"/>
        </w:rPr>
        <w:t>销售平台公章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lang w:eastAsia="zh-CN"/>
        </w:rPr>
        <w:t>体现演出阵容和现场观众人数的</w:t>
      </w:r>
      <w:r>
        <w:rPr>
          <w:rFonts w:hint="eastAsia" w:ascii="仿宋_GB2312" w:hAnsi="仿宋_GB2312" w:eastAsia="仿宋_GB2312" w:cs="仿宋_GB2312"/>
          <w:color w:val="000000"/>
          <w:sz w:val="32"/>
          <w:szCs w:val="32"/>
        </w:rPr>
        <w:t>照片</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视频</w:t>
      </w:r>
      <w:r>
        <w:rPr>
          <w:rFonts w:hint="eastAsia" w:ascii="仿宋_GB2312" w:hAnsi="仿宋_GB2312" w:eastAsia="仿宋_GB2312" w:cs="仿宋_GB2312"/>
          <w:color w:val="000000"/>
          <w:sz w:val="32"/>
          <w:szCs w:val="32"/>
          <w:lang w:eastAsia="zh-CN"/>
        </w:rPr>
        <w:t>（保证</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真实性和关联性，如舞台和观众全景照片、视频等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（四）有关材料：1.</w:t>
      </w:r>
      <w:r>
        <w:rPr>
          <w:rFonts w:hint="eastAsia" w:ascii="仿宋_GB2312" w:hAnsi="仿宋_GB2312" w:eastAsia="仿宋_GB2312" w:cs="仿宋_GB2312"/>
          <w:b/>
          <w:bCs/>
          <w:color w:val="000000"/>
          <w:sz w:val="32"/>
          <w:szCs w:val="32"/>
          <w:lang w:val="en-US" w:eastAsia="zh-CN"/>
        </w:rPr>
        <w:t>风险自评报告</w:t>
      </w:r>
      <w:r>
        <w:rPr>
          <w:rFonts w:hint="eastAsia" w:ascii="仿宋_GB2312" w:hAnsi="仿宋_GB2312" w:eastAsia="仿宋_GB2312" w:cs="仿宋_GB2312"/>
          <w:color w:val="000000"/>
          <w:sz w:val="32"/>
          <w:szCs w:val="32"/>
          <w:lang w:val="en-US" w:eastAsia="zh-CN"/>
        </w:rPr>
        <w:t>（应包含重点分析研判票务销售、现场管理、网络舆情等方面风险，并提出针对性工作措施）</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val="en-US" w:eastAsia="zh-CN"/>
        </w:rPr>
        <w:t>.购票信息清单；</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val="en-US" w:eastAsia="zh-CN"/>
        </w:rPr>
        <w:t>入场清单</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项目场次检票报表清单；</w:t>
      </w:r>
      <w:r>
        <w:rPr>
          <w:rFonts w:hint="eastAsia" w:ascii="仿宋_GB2312" w:hAnsi="仿宋_GB2312" w:eastAsia="仿宋_GB2312" w:cs="仿宋_GB2312"/>
          <w:color w:val="000000"/>
          <w:sz w:val="32"/>
          <w:szCs w:val="32"/>
          <w:highlight w:val="none"/>
          <w:lang w:val="en-US" w:eastAsia="zh-CN"/>
        </w:rPr>
        <w:t>闸机验票统计汇总表；</w:t>
      </w:r>
      <w:r>
        <w:rPr>
          <w:rFonts w:hint="eastAsia" w:ascii="仿宋_GB2312" w:hAnsi="仿宋_GB2312" w:eastAsia="仿宋_GB2312" w:cs="仿宋_GB2312"/>
          <w:b w:val="0"/>
          <w:bCs w:val="0"/>
          <w:color w:val="000000"/>
          <w:sz w:val="32"/>
          <w:szCs w:val="32"/>
          <w:highlight w:val="none"/>
          <w:lang w:val="en-US" w:eastAsia="zh-CN"/>
        </w:rPr>
        <w:t>PDA检票统计汇总表；</w:t>
      </w:r>
      <w:r>
        <w:rPr>
          <w:rFonts w:hint="eastAsia" w:ascii="仿宋_GB2312" w:hAnsi="仿宋_GB2312" w:eastAsia="仿宋_GB2312" w:cs="仿宋_GB2312"/>
          <w:color w:val="000000"/>
          <w:sz w:val="32"/>
          <w:szCs w:val="32"/>
          <w:highlight w:val="none"/>
          <w:lang w:val="en-US" w:eastAsia="zh-CN"/>
        </w:rPr>
        <w:t>手机APP电子检票统计汇总表；如使用纸质票检票，请提供汇总表）。以上材料须盖</w:t>
      </w:r>
      <w:r>
        <w:rPr>
          <w:rFonts w:hint="eastAsia" w:ascii="仿宋_GB2312" w:hAnsi="仿宋_GB2312" w:eastAsia="仿宋_GB2312" w:cs="仿宋_GB2312"/>
          <w:color w:val="000000"/>
          <w:sz w:val="32"/>
          <w:szCs w:val="32"/>
          <w:lang w:val="en-US" w:eastAsia="zh-CN"/>
        </w:rPr>
        <w:t>申报单位公章、</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检票票务</w:t>
      </w:r>
      <w:r>
        <w:rPr>
          <w:rFonts w:hint="eastAsia" w:ascii="仿宋_GB2312" w:hAnsi="仿宋_GB2312" w:eastAsia="仿宋_GB2312" w:cs="仿宋_GB2312"/>
          <w:color w:val="000000"/>
          <w:sz w:val="32"/>
          <w:szCs w:val="32"/>
        </w:rPr>
        <w:t>平台公章</w:t>
      </w:r>
      <w:r>
        <w:rPr>
          <w:rFonts w:hint="eastAsia" w:ascii="仿宋_GB2312" w:hAnsi="仿宋_GB2312" w:eastAsia="仿宋_GB2312" w:cs="仿宋_GB2312"/>
          <w:color w:val="000000"/>
          <w:sz w:val="32"/>
          <w:szCs w:val="32"/>
          <w:lang w:val="en-US" w:eastAsia="zh-CN"/>
        </w:rPr>
        <w:t>，以查验演出当天观众入场数量。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rPr>
        <w:t>（五）申报单位近三年演出收入凭证（赞助收入不作为售票收入，在购票观众人数凭证中已提供的材料无需重复提供）。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lang w:val="en-US" w:eastAsia="zh-CN"/>
        </w:rPr>
        <w:t>演出场次证明材料。包括但不限于演出场次清单、官方网站公示、演出公告、售票记录、演职员出勤记录等。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社会效益和品牌影响力凭证，包括但不限于媒体报道</w:t>
      </w:r>
      <w:r>
        <w:rPr>
          <w:rFonts w:hint="eastAsia" w:ascii="仿宋_GB2312" w:hAnsi="仿宋_GB2312" w:eastAsia="仿宋_GB2312" w:cs="仿宋_GB2312"/>
          <w:color w:val="000000"/>
          <w:sz w:val="32"/>
          <w:szCs w:val="32"/>
          <w:highlight w:val="none"/>
        </w:rPr>
        <w:t>、自媒体评论等</w:t>
      </w:r>
      <w:r>
        <w:rPr>
          <w:rFonts w:hint="eastAsia" w:ascii="仿宋_GB2312" w:hAnsi="仿宋_GB2312" w:eastAsia="仿宋_GB2312" w:cs="仿宋_GB2312"/>
          <w:color w:val="00000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pPr>
      <w:r>
        <w:rPr>
          <w:rFonts w:hint="eastAsia" w:ascii="仿宋_GB2312" w:hAnsi="仿宋_GB2312" w:eastAsia="仿宋_GB2312" w:cs="仿宋_GB2312"/>
          <w:b w:val="0"/>
          <w:bCs/>
          <w:color w:val="000000"/>
          <w:sz w:val="32"/>
          <w:szCs w:val="32"/>
          <w:highlight w:val="none"/>
          <w:lang w:eastAsia="zh-CN"/>
        </w:rPr>
        <w:t>（八）申报单位</w:t>
      </w:r>
      <w:r>
        <w:rPr>
          <w:rFonts w:hint="eastAsia" w:ascii="仿宋_GB2312" w:hAnsi="仿宋_GB2312" w:eastAsia="仿宋_GB2312" w:cs="仿宋_GB2312"/>
          <w:b w:val="0"/>
          <w:color w:val="000000"/>
          <w:kern w:val="2"/>
          <w:sz w:val="32"/>
          <w:szCs w:val="32"/>
          <w:highlight w:val="none"/>
          <w:lang w:val="en-US" w:eastAsia="zh-CN" w:bidi="ar-SA"/>
        </w:rPr>
        <w:t>无欠缴税款及其他违规违法行为，</w:t>
      </w:r>
      <w:r>
        <w:rPr>
          <w:rFonts w:hint="default" w:ascii="仿宋_GB2312" w:hAnsi="仿宋_GB2312" w:eastAsia="仿宋_GB2312" w:cs="仿宋_GB2312"/>
          <w:b w:val="0"/>
          <w:bCs w:val="0"/>
          <w:i w:val="0"/>
          <w:iCs w:val="0"/>
          <w:color w:val="000000"/>
          <w:kern w:val="2"/>
          <w:sz w:val="32"/>
          <w:szCs w:val="32"/>
          <w:highlight w:val="none"/>
          <w:vertAlign w:val="baseline"/>
          <w:lang w:val="en-US" w:eastAsia="zh-CN" w:bidi="ar-SA"/>
        </w:rPr>
        <w:t>三年内未出现重大负面舆情</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和安全事故的声明。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highlight w:val="none"/>
        </w:rPr>
        <w:t>以上资料由</w:t>
      </w:r>
      <w:r>
        <w:rPr>
          <w:rFonts w:hint="eastAsia" w:ascii="仿宋_GB2312" w:hAnsi="仿宋_GB2312" w:eastAsia="仿宋_GB2312" w:cs="仿宋_GB2312"/>
          <w:color w:val="000000"/>
          <w:sz w:val="32"/>
          <w:szCs w:val="32"/>
          <w:highlight w:val="none"/>
          <w:lang w:eastAsia="zh-CN"/>
        </w:rPr>
        <w:t>申报</w:t>
      </w:r>
      <w:r>
        <w:rPr>
          <w:rFonts w:hint="eastAsia" w:ascii="仿宋_GB2312" w:hAnsi="仿宋_GB2312" w:eastAsia="仿宋_GB2312" w:cs="仿宋_GB2312"/>
          <w:color w:val="000000"/>
          <w:sz w:val="32"/>
          <w:szCs w:val="32"/>
          <w:highlight w:val="none"/>
        </w:rPr>
        <w:t>单位</w:t>
      </w:r>
      <w:r>
        <w:rPr>
          <w:rFonts w:hint="eastAsia" w:ascii="仿宋_GB2312" w:hAnsi="仿宋_GB2312" w:eastAsia="仿宋_GB2312" w:cs="仿宋_GB2312"/>
          <w:color w:val="000000"/>
          <w:sz w:val="32"/>
          <w:szCs w:val="32"/>
        </w:rPr>
        <w:t>自主提供</w:t>
      </w:r>
      <w:r>
        <w:rPr>
          <w:rFonts w:hint="eastAsia" w:ascii="仿宋_GB2312" w:hAnsi="仿宋_GB2312" w:eastAsia="仿宋_GB2312" w:cs="仿宋_GB2312"/>
          <w:color w:val="000000"/>
          <w:sz w:val="32"/>
          <w:szCs w:val="32"/>
          <w:lang w:eastAsia="zh-CN"/>
        </w:rPr>
        <w:t>并签署承诺书，</w:t>
      </w:r>
      <w:r>
        <w:rPr>
          <w:rFonts w:hint="eastAsia" w:ascii="仿宋_GB2312" w:hAnsi="仿宋_GB2312" w:eastAsia="仿宋_GB2312" w:cs="仿宋_GB2312"/>
          <w:color w:val="000000"/>
          <w:sz w:val="32"/>
          <w:szCs w:val="32"/>
        </w:rPr>
        <w:t>确保资料的真实</w:t>
      </w:r>
      <w:r>
        <w:rPr>
          <w:rFonts w:hint="eastAsia" w:ascii="仿宋_GB2312" w:hAnsi="仿宋_GB2312" w:eastAsia="仿宋_GB2312" w:cs="仿宋_GB2312"/>
          <w:color w:val="000000"/>
          <w:sz w:val="32"/>
          <w:szCs w:val="32"/>
          <w:lang w:eastAsia="zh-CN"/>
        </w:rPr>
        <w:t>性和有效性。</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color w:val="000000"/>
          <w:sz w:val="32"/>
          <w:szCs w:val="32"/>
        </w:rPr>
        <w:t>发现弄虚作假者，取消此次奖补资格，</w:t>
      </w:r>
      <w:r>
        <w:rPr>
          <w:rFonts w:hint="eastAsia" w:ascii="仿宋_GB2312" w:hAnsi="仿宋_GB2312" w:eastAsia="仿宋_GB2312" w:cs="仿宋_GB2312"/>
          <w:color w:val="000000"/>
          <w:sz w:val="32"/>
          <w:szCs w:val="32"/>
          <w:lang w:eastAsia="zh-CN"/>
        </w:rPr>
        <w:t>追回奖补资金。</w:t>
      </w:r>
      <w:r>
        <w:rPr>
          <w:rFonts w:hint="eastAsia" w:ascii="仿宋_GB2312" w:hAnsi="仿宋_GB2312" w:eastAsia="仿宋_GB2312" w:cs="仿宋_GB2312"/>
          <w:color w:val="000000"/>
          <w:sz w:val="32"/>
          <w:szCs w:val="32"/>
        </w:rPr>
        <w:t>三年内不受理</w:t>
      </w:r>
      <w:r>
        <w:rPr>
          <w:rFonts w:hint="eastAsia" w:ascii="仿宋_GB2312" w:hAnsi="仿宋_GB2312" w:eastAsia="仿宋_GB2312" w:cs="仿宋_GB2312"/>
          <w:b/>
          <w:bCs/>
          <w:color w:val="000000"/>
          <w:sz w:val="32"/>
          <w:szCs w:val="32"/>
        </w:rPr>
        <w:t>该</w:t>
      </w:r>
      <w:r>
        <w:rPr>
          <w:rFonts w:hint="eastAsia" w:ascii="仿宋_GB2312" w:hAnsi="仿宋_GB2312" w:eastAsia="仿宋_GB2312" w:cs="仿宋_GB2312"/>
          <w:b/>
          <w:bCs/>
          <w:color w:val="000000"/>
          <w:sz w:val="32"/>
          <w:szCs w:val="32"/>
          <w:lang w:eastAsia="zh-CN"/>
        </w:rPr>
        <w:t>申报单位及法人</w:t>
      </w:r>
      <w:r>
        <w:rPr>
          <w:rFonts w:hint="eastAsia" w:ascii="仿宋_GB2312" w:hAnsi="仿宋_GB2312" w:eastAsia="仿宋_GB2312" w:cs="仿宋_GB2312"/>
          <w:color w:val="000000"/>
          <w:sz w:val="32"/>
          <w:szCs w:val="32"/>
        </w:rPr>
        <w:t>所有</w:t>
      </w:r>
      <w:r>
        <w:rPr>
          <w:rFonts w:hint="eastAsia" w:ascii="仿宋_GB2312" w:hAnsi="仿宋_GB2312" w:eastAsia="仿宋_GB2312" w:cs="仿宋_GB2312"/>
          <w:color w:val="000000"/>
          <w:sz w:val="32"/>
          <w:szCs w:val="32"/>
          <w:lang w:eastAsia="zh-CN"/>
        </w:rPr>
        <w:t>文艺类</w:t>
      </w:r>
      <w:r>
        <w:rPr>
          <w:rFonts w:hint="eastAsia" w:ascii="仿宋_GB2312" w:hAnsi="仿宋_GB2312" w:eastAsia="仿宋_GB2312" w:cs="仿宋_GB2312"/>
          <w:color w:val="000000"/>
          <w:sz w:val="32"/>
          <w:szCs w:val="32"/>
        </w:rPr>
        <w:t>奖补申请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并列入海南省演出行业黑名单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涉嫌违法违规问题，移交相关部门</w:t>
      </w:r>
      <w:r>
        <w:rPr>
          <w:rFonts w:hint="eastAsia" w:ascii="仿宋_GB2312" w:hAnsi="仿宋_GB2312" w:cs="仿宋_GB2312"/>
          <w:color w:val="000000"/>
          <w:sz w:val="32"/>
          <w:szCs w:val="32"/>
          <w:lang w:eastAsia="zh-CN"/>
        </w:rPr>
        <w:t>处</w:t>
      </w:r>
      <w:r>
        <w:rPr>
          <w:rFonts w:hint="eastAsia" w:ascii="仿宋_GB2312" w:hAnsi="仿宋_GB2312" w:eastAsia="仿宋_GB2312" w:cs="仿宋_GB2312"/>
          <w:color w:val="000000"/>
          <w:sz w:val="32"/>
          <w:szCs w:val="32"/>
          <w:lang w:eastAsia="zh-CN"/>
        </w:rPr>
        <w:t>理。</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评审流程</w:t>
      </w:r>
      <w:r>
        <w:rPr>
          <w:color w:val="000000"/>
        </w:rPr>
        <w:br w:type="textWrapping"/>
      </w: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申报单位在省政府海易兑平台线上提交申请奖补相关材料。经</w:t>
      </w:r>
      <w:r>
        <w:rPr>
          <w:rFonts w:hint="eastAsia" w:ascii="仿宋_GB2312" w:hAnsi="仿宋_GB2312" w:eastAsia="仿宋_GB2312" w:cs="仿宋_GB2312"/>
          <w:color w:val="000000"/>
          <w:sz w:val="32"/>
          <w:szCs w:val="32"/>
          <w:lang w:eastAsia="zh-CN"/>
        </w:rPr>
        <w:t>初核后，主管部门委托第三方审核申报材料，并组织专家评委召开评审会。</w:t>
      </w:r>
      <w:r>
        <w:rPr>
          <w:rFonts w:hint="default" w:ascii="仿宋_GB2312" w:hAnsi="仿宋_GB2312" w:eastAsia="仿宋_GB2312" w:cs="仿宋_GB2312"/>
          <w:color w:val="000000"/>
          <w:sz w:val="32"/>
          <w:szCs w:val="32"/>
          <w:highlight w:val="none"/>
          <w:lang w:eastAsia="zh-CN"/>
        </w:rPr>
        <w:t>省旅文厅收到完整的奖补申报材料后，将于45日内完成评审工作。</w:t>
      </w:r>
      <w:r>
        <w:rPr>
          <w:rFonts w:hint="eastAsia" w:ascii="仿宋_GB2312" w:hAnsi="仿宋_GB2312" w:eastAsia="仿宋_GB2312" w:cs="仿宋_GB2312"/>
          <w:color w:val="000000"/>
          <w:sz w:val="32"/>
          <w:szCs w:val="32"/>
          <w:lang w:eastAsia="zh-CN"/>
        </w:rPr>
        <w:t>评审结果</w:t>
      </w:r>
      <w:r>
        <w:rPr>
          <w:rFonts w:hint="eastAsia" w:ascii="仿宋_GB2312" w:hAnsi="仿宋_GB2312" w:eastAsia="仿宋_GB2312" w:cs="仿宋_GB2312"/>
          <w:color w:val="000000"/>
          <w:sz w:val="32"/>
          <w:szCs w:val="32"/>
          <w:highlight w:val="none"/>
          <w:lang w:eastAsia="zh-CN"/>
        </w:rPr>
        <w:t>在省旅游和文化广电体育厅网站（阳光海南网）上进行公示，公示期为</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个工作日。公示期满无异议后，由省旅游和文化广电体育厅按财政规定程序审核拨付。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五、评委构成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相关行业管理部门负责人及</w:t>
      </w:r>
      <w:r>
        <w:rPr>
          <w:rFonts w:hint="eastAsia" w:ascii="仿宋_GB2312" w:hAnsi="仿宋_GB2312" w:eastAsia="仿宋_GB2312" w:cs="仿宋_GB2312"/>
          <w:color w:val="000000"/>
          <w:sz w:val="32"/>
          <w:szCs w:val="32"/>
        </w:rPr>
        <w:t>演出行业专家</w:t>
      </w:r>
      <w:r>
        <w:rPr>
          <w:rFonts w:hint="eastAsia" w:ascii="仿宋_GB2312" w:hAnsi="仿宋_GB2312" w:eastAsia="仿宋_GB2312" w:cs="仿宋_GB2312"/>
          <w:color w:val="000000"/>
          <w:sz w:val="32"/>
          <w:szCs w:val="32"/>
          <w:lang w:val="en-US" w:eastAsia="zh-CN"/>
        </w:rPr>
        <w:t>。</w:t>
      </w:r>
    </w:p>
    <w:p>
      <w:pPr>
        <w:numPr>
          <w:ilvl w:val="0"/>
          <w:numId w:val="0"/>
        </w:numPr>
        <w:spacing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六、附则</w:t>
      </w:r>
    </w:p>
    <w:p>
      <w:pPr>
        <w:spacing w:line="560" w:lineRule="exact"/>
        <w:ind w:firstLine="640" w:firstLineChars="200"/>
        <w:rPr>
          <w:rFonts w:hint="default"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海南省旅游和文化广电体育厅负责本实施细则的具体实施和解释工作。本实施细则自公布之日起施行，有效期至2025年12月31日。</w:t>
      </w:r>
      <w:r>
        <w:rPr>
          <w:rFonts w:hint="default" w:ascii="仿宋_GB2312" w:hAnsi="仿宋_GB2312" w:eastAsia="仿宋_GB2312" w:cs="仿宋_GB2312"/>
          <w:color w:val="000000"/>
          <w:sz w:val="32"/>
          <w:szCs w:val="32"/>
          <w:highlight w:val="none"/>
          <w:lang w:eastAsia="zh-CN"/>
        </w:rPr>
        <w:t>奖补申报时间截至2026年</w:t>
      </w: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eastAsia="zh-CN"/>
        </w:rPr>
        <w:t>月</w:t>
      </w:r>
      <w:r>
        <w:rPr>
          <w:rFonts w:hint="eastAsia" w:ascii="仿宋_GB2312" w:hAnsi="仿宋_GB2312" w:eastAsia="仿宋_GB2312" w:cs="仿宋_GB2312"/>
          <w:color w:val="000000"/>
          <w:sz w:val="32"/>
          <w:szCs w:val="32"/>
          <w:highlight w:val="none"/>
          <w:lang w:val="en-US" w:eastAsia="zh-CN"/>
        </w:rPr>
        <w:t>28</w:t>
      </w:r>
      <w:r>
        <w:rPr>
          <w:rFonts w:hint="default" w:ascii="仿宋_GB2312" w:hAnsi="仿宋_GB2312" w:eastAsia="仿宋_GB2312" w:cs="仿宋_GB2312"/>
          <w:color w:val="000000"/>
          <w:sz w:val="32"/>
          <w:szCs w:val="32"/>
          <w:highlight w:val="none"/>
          <w:lang w:eastAsia="zh-CN"/>
        </w:rPr>
        <w:t>日。</w:t>
      </w:r>
    </w:p>
    <w:p>
      <w:pPr>
        <w:spacing w:line="560" w:lineRule="exact"/>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D19A1"/>
    <w:multiLevelType w:val="singleLevel"/>
    <w:tmpl w:val="FDFD19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3DD06"/>
    <w:rsid w:val="041B6E64"/>
    <w:rsid w:val="088F57AB"/>
    <w:rsid w:val="0A4C798F"/>
    <w:rsid w:val="0B1422DC"/>
    <w:rsid w:val="0CE139D4"/>
    <w:rsid w:val="145C7F98"/>
    <w:rsid w:val="15EE1136"/>
    <w:rsid w:val="1B6A2DF9"/>
    <w:rsid w:val="1C3D30CA"/>
    <w:rsid w:val="1D59671F"/>
    <w:rsid w:val="1DFF2BFD"/>
    <w:rsid w:val="1E5B13E6"/>
    <w:rsid w:val="1F59A14B"/>
    <w:rsid w:val="23F9A41A"/>
    <w:rsid w:val="25B43072"/>
    <w:rsid w:val="26656D01"/>
    <w:rsid w:val="29564C3D"/>
    <w:rsid w:val="2C7F832F"/>
    <w:rsid w:val="2DFF68BC"/>
    <w:rsid w:val="2F586E26"/>
    <w:rsid w:val="2F93DD06"/>
    <w:rsid w:val="2FEF4696"/>
    <w:rsid w:val="30021055"/>
    <w:rsid w:val="316B4540"/>
    <w:rsid w:val="32507934"/>
    <w:rsid w:val="33311B8A"/>
    <w:rsid w:val="37DC2D16"/>
    <w:rsid w:val="3D14562B"/>
    <w:rsid w:val="3E5350A0"/>
    <w:rsid w:val="40A24247"/>
    <w:rsid w:val="46772AED"/>
    <w:rsid w:val="46BA723A"/>
    <w:rsid w:val="475C13D4"/>
    <w:rsid w:val="49547D44"/>
    <w:rsid w:val="49FF3FC9"/>
    <w:rsid w:val="4A053152"/>
    <w:rsid w:val="4ADA51BF"/>
    <w:rsid w:val="4EEB239D"/>
    <w:rsid w:val="4FFD7F2B"/>
    <w:rsid w:val="53591EA8"/>
    <w:rsid w:val="55CB1462"/>
    <w:rsid w:val="56DD7BE5"/>
    <w:rsid w:val="58444C87"/>
    <w:rsid w:val="5A6F813E"/>
    <w:rsid w:val="5BF930E0"/>
    <w:rsid w:val="5DAE73D4"/>
    <w:rsid w:val="5F1C0783"/>
    <w:rsid w:val="663243FA"/>
    <w:rsid w:val="67C1395D"/>
    <w:rsid w:val="67D7A67B"/>
    <w:rsid w:val="686751AE"/>
    <w:rsid w:val="6973C5BC"/>
    <w:rsid w:val="69BB3E91"/>
    <w:rsid w:val="6C7B12A8"/>
    <w:rsid w:val="6DD7E9DF"/>
    <w:rsid w:val="6DE157DE"/>
    <w:rsid w:val="6EA101FF"/>
    <w:rsid w:val="73841026"/>
    <w:rsid w:val="73A7DDE8"/>
    <w:rsid w:val="73EF91F3"/>
    <w:rsid w:val="74DA5854"/>
    <w:rsid w:val="752943AF"/>
    <w:rsid w:val="77DBFCAD"/>
    <w:rsid w:val="7A1DA2B1"/>
    <w:rsid w:val="7A6C40E2"/>
    <w:rsid w:val="7A7E7B42"/>
    <w:rsid w:val="7AD65D34"/>
    <w:rsid w:val="7ADF2177"/>
    <w:rsid w:val="7AFD669C"/>
    <w:rsid w:val="7B925A93"/>
    <w:rsid w:val="7BBD4AD5"/>
    <w:rsid w:val="7BEBE14A"/>
    <w:rsid w:val="7DDFDDB7"/>
    <w:rsid w:val="7DFAC366"/>
    <w:rsid w:val="7DFE8E05"/>
    <w:rsid w:val="7E59E514"/>
    <w:rsid w:val="7E9D123C"/>
    <w:rsid w:val="7F3BA260"/>
    <w:rsid w:val="7F931261"/>
    <w:rsid w:val="7F9F8F96"/>
    <w:rsid w:val="7FDFE25F"/>
    <w:rsid w:val="7FF71D90"/>
    <w:rsid w:val="7FFE542A"/>
    <w:rsid w:val="7FFF123D"/>
    <w:rsid w:val="8BFBF3B1"/>
    <w:rsid w:val="9356C967"/>
    <w:rsid w:val="99BF591F"/>
    <w:rsid w:val="ADEB7B49"/>
    <w:rsid w:val="B7B723AF"/>
    <w:rsid w:val="B8FDA6B5"/>
    <w:rsid w:val="BFFFEE1D"/>
    <w:rsid w:val="CFFD8913"/>
    <w:rsid w:val="D7FAA99F"/>
    <w:rsid w:val="D93A5D0D"/>
    <w:rsid w:val="DC79D278"/>
    <w:rsid w:val="DFD5073F"/>
    <w:rsid w:val="DFDFCC07"/>
    <w:rsid w:val="EB339DFD"/>
    <w:rsid w:val="EBAF82EB"/>
    <w:rsid w:val="EFCEB0D3"/>
    <w:rsid w:val="EFF73288"/>
    <w:rsid w:val="F3F3F28B"/>
    <w:rsid w:val="F56BBF60"/>
    <w:rsid w:val="F9EFC0C2"/>
    <w:rsid w:val="FAFFFAAC"/>
    <w:rsid w:val="FBEF59DE"/>
    <w:rsid w:val="FDDDF67B"/>
    <w:rsid w:val="FDDF6822"/>
    <w:rsid w:val="FE2F2A98"/>
    <w:rsid w:val="FE7ED587"/>
    <w:rsid w:val="FEFB9DBF"/>
    <w:rsid w:val="FEFFE753"/>
    <w:rsid w:val="FF6DF429"/>
    <w:rsid w:val="FF7EB40E"/>
    <w:rsid w:val="FFBBC7C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2025-02-14T18:15:00Z</dcterms:created>
  <dc:creator>user</dc:creator>
  <cp:lastModifiedBy>user</cp:lastModifiedBy>
  <cp:lastPrinted>2025-03-27T11:43:31Z</cp:lastPrinted>
  <dcterms:modified xsi:type="dcterms:W3CDTF">2025-03-27T11:43:33Z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